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F810" w14:textId="55CD5A3E" w:rsidR="00F13D75" w:rsidRPr="00BE005D" w:rsidRDefault="00F91E71">
      <w:pPr>
        <w:jc w:val="center"/>
        <w:rPr>
          <w:rFonts w:ascii="Arial" w:eastAsia="Arial" w:hAnsi="Arial" w:cs="Arial"/>
          <w:b/>
          <w:sz w:val="48"/>
          <w:szCs w:val="48"/>
          <w:lang w:val="en-US"/>
        </w:rPr>
      </w:pPr>
      <w:bookmarkStart w:id="0" w:name="OLE_LINK1"/>
      <w:r w:rsidRPr="00BE005D">
        <w:rPr>
          <w:rFonts w:ascii="Arial" w:eastAsia="Arial" w:hAnsi="Arial" w:cs="Arial"/>
          <w:b/>
          <w:sz w:val="48"/>
          <w:szCs w:val="48"/>
          <w:lang w:val="en-US"/>
        </w:rPr>
        <w:t xml:space="preserve">Native isolates of </w:t>
      </w:r>
      <w:r w:rsidRPr="00BE005D">
        <w:rPr>
          <w:rFonts w:ascii="Arial" w:eastAsia="Arial" w:hAnsi="Arial" w:cs="Arial"/>
          <w:b/>
          <w:i/>
          <w:iCs/>
          <w:sz w:val="48"/>
          <w:szCs w:val="48"/>
          <w:lang w:val="en-US"/>
        </w:rPr>
        <w:t xml:space="preserve">Gluconacetobacter diazotrophicus </w:t>
      </w:r>
      <w:r w:rsidRPr="00BE005D">
        <w:rPr>
          <w:rFonts w:ascii="Arial" w:eastAsia="Arial" w:hAnsi="Arial" w:cs="Arial"/>
          <w:b/>
          <w:sz w:val="48"/>
          <w:szCs w:val="48"/>
          <w:lang w:val="en-US"/>
        </w:rPr>
        <w:t xml:space="preserve">solubilizes phosphates and promotes plant growth in </w:t>
      </w:r>
      <w:r w:rsidRPr="00BE005D">
        <w:rPr>
          <w:rFonts w:ascii="Arial" w:eastAsia="Arial" w:hAnsi="Arial" w:cs="Arial"/>
          <w:b/>
          <w:i/>
          <w:iCs/>
          <w:sz w:val="48"/>
          <w:szCs w:val="48"/>
          <w:lang w:val="en-US"/>
        </w:rPr>
        <w:t xml:space="preserve">Solanum </w:t>
      </w:r>
      <w:proofErr w:type="spellStart"/>
      <w:r w:rsidRPr="00BE005D">
        <w:rPr>
          <w:rFonts w:ascii="Arial" w:eastAsia="Arial" w:hAnsi="Arial" w:cs="Arial"/>
          <w:b/>
          <w:i/>
          <w:iCs/>
          <w:sz w:val="48"/>
          <w:szCs w:val="48"/>
          <w:lang w:val="en-US"/>
        </w:rPr>
        <w:t>lycopersicum</w:t>
      </w:r>
      <w:proofErr w:type="spellEnd"/>
      <w:r w:rsidRPr="00BE005D">
        <w:rPr>
          <w:rFonts w:ascii="Arial" w:eastAsia="Arial" w:hAnsi="Arial" w:cs="Arial"/>
          <w:b/>
          <w:sz w:val="48"/>
          <w:szCs w:val="48"/>
          <w:lang w:val="en-US"/>
        </w:rPr>
        <w:t xml:space="preserve"> L.</w:t>
      </w:r>
    </w:p>
    <w:bookmarkEnd w:id="0"/>
    <w:p w14:paraId="31DC8223" w14:textId="77777777" w:rsidR="00F13D75" w:rsidRPr="00BE005D" w:rsidRDefault="00F13D75">
      <w:pPr>
        <w:jc w:val="center"/>
        <w:rPr>
          <w:rFonts w:ascii="Arial" w:eastAsia="Arial" w:hAnsi="Arial" w:cs="Arial"/>
          <w:b/>
          <w:sz w:val="48"/>
          <w:szCs w:val="48"/>
          <w:lang w:val="en-US"/>
        </w:rPr>
      </w:pPr>
    </w:p>
    <w:p w14:paraId="73794A29" w14:textId="19263AF9" w:rsidR="00F13D75" w:rsidRPr="00BE005D" w:rsidRDefault="002544AB">
      <w:pPr>
        <w:jc w:val="center"/>
        <w:rPr>
          <w:rFonts w:ascii="Arial" w:eastAsia="Arial" w:hAnsi="Arial" w:cs="Arial"/>
          <w:b/>
          <w:sz w:val="48"/>
          <w:szCs w:val="48"/>
        </w:rPr>
      </w:pPr>
      <w:sdt>
        <w:sdtPr>
          <w:rPr>
            <w:sz w:val="48"/>
            <w:szCs w:val="48"/>
          </w:rPr>
          <w:tag w:val="goog_rdk_0"/>
          <w:id w:val="-1888478065"/>
        </w:sdtPr>
        <w:sdtEndPr/>
        <w:sdtContent/>
      </w:sdt>
      <w:r w:rsidR="009E706A" w:rsidRPr="00BE005D">
        <w:rPr>
          <w:rFonts w:ascii="Arial" w:eastAsia="Arial" w:hAnsi="Arial" w:cs="Arial"/>
          <w:b/>
          <w:sz w:val="48"/>
          <w:szCs w:val="48"/>
        </w:rPr>
        <w:t xml:space="preserve">Aislamientos nativos de </w:t>
      </w:r>
      <w:r w:rsidR="009E706A" w:rsidRPr="00BE005D">
        <w:rPr>
          <w:rFonts w:ascii="Arial" w:eastAsia="Arial" w:hAnsi="Arial" w:cs="Arial"/>
          <w:b/>
          <w:i/>
          <w:iCs/>
          <w:sz w:val="48"/>
          <w:szCs w:val="48"/>
        </w:rPr>
        <w:t>Gluconacetobacter diazotrophicus</w:t>
      </w:r>
      <w:r w:rsidR="009E706A" w:rsidRPr="00BE005D">
        <w:rPr>
          <w:rFonts w:ascii="Arial" w:eastAsia="Arial" w:hAnsi="Arial" w:cs="Arial"/>
          <w:b/>
          <w:sz w:val="48"/>
          <w:szCs w:val="48"/>
        </w:rPr>
        <w:t xml:space="preserve"> solubilizan fosfatos y promueven el crecimiento vegetal en </w:t>
      </w:r>
      <w:proofErr w:type="spellStart"/>
      <w:r w:rsidR="009E706A" w:rsidRPr="00BE005D">
        <w:rPr>
          <w:rFonts w:ascii="Arial" w:eastAsia="Arial" w:hAnsi="Arial" w:cs="Arial"/>
          <w:b/>
          <w:i/>
          <w:iCs/>
          <w:sz w:val="48"/>
          <w:szCs w:val="48"/>
        </w:rPr>
        <w:t>Solanum</w:t>
      </w:r>
      <w:proofErr w:type="spellEnd"/>
      <w:r w:rsidR="009E706A" w:rsidRPr="00BE005D">
        <w:rPr>
          <w:rFonts w:ascii="Arial" w:eastAsia="Arial" w:hAnsi="Arial" w:cs="Arial"/>
          <w:b/>
          <w:i/>
          <w:iCs/>
          <w:sz w:val="48"/>
          <w:szCs w:val="48"/>
        </w:rPr>
        <w:t xml:space="preserve"> </w:t>
      </w:r>
      <w:proofErr w:type="spellStart"/>
      <w:r w:rsidR="009E706A" w:rsidRPr="00BE005D">
        <w:rPr>
          <w:rFonts w:ascii="Arial" w:eastAsia="Arial" w:hAnsi="Arial" w:cs="Arial"/>
          <w:b/>
          <w:i/>
          <w:iCs/>
          <w:sz w:val="48"/>
          <w:szCs w:val="48"/>
        </w:rPr>
        <w:t>lycopersicum</w:t>
      </w:r>
      <w:proofErr w:type="spellEnd"/>
      <w:r w:rsidR="009E706A" w:rsidRPr="00BE005D">
        <w:rPr>
          <w:rFonts w:ascii="Arial" w:eastAsia="Arial" w:hAnsi="Arial" w:cs="Arial"/>
          <w:b/>
          <w:sz w:val="48"/>
          <w:szCs w:val="48"/>
        </w:rPr>
        <w:t xml:space="preserve"> L.</w:t>
      </w:r>
    </w:p>
    <w:p w14:paraId="15867116" w14:textId="09D3EC54" w:rsidR="00F13D75" w:rsidRPr="00BE005D" w:rsidRDefault="00F13D75">
      <w:pPr>
        <w:pBdr>
          <w:top w:val="nil"/>
          <w:left w:val="nil"/>
          <w:bottom w:val="nil"/>
          <w:right w:val="nil"/>
          <w:between w:val="nil"/>
        </w:pBdr>
        <w:rPr>
          <w:rFonts w:ascii="Arial" w:eastAsia="Arial" w:hAnsi="Arial" w:cs="Arial"/>
          <w:color w:val="000000"/>
        </w:rPr>
      </w:pPr>
    </w:p>
    <w:p w14:paraId="74C493D9" w14:textId="2296507E" w:rsidR="00A5361A" w:rsidRPr="00BE005D" w:rsidRDefault="00A5361A" w:rsidP="00AE35A0">
      <w:pPr>
        <w:widowControl w:val="0"/>
        <w:autoSpaceDE w:val="0"/>
        <w:autoSpaceDN w:val="0"/>
        <w:adjustRightInd w:val="0"/>
        <w:jc w:val="center"/>
        <w:rPr>
          <w:rFonts w:ascii="Arial" w:hAnsi="Arial" w:cs="Arial"/>
          <w:bCs/>
          <w:sz w:val="22"/>
          <w:szCs w:val="22"/>
          <w:vertAlign w:val="superscript"/>
        </w:rPr>
      </w:pPr>
      <w:r w:rsidRPr="00BE005D">
        <w:rPr>
          <w:rFonts w:ascii="Arial" w:hAnsi="Arial" w:cs="Arial"/>
          <w:bCs/>
          <w:sz w:val="22"/>
          <w:szCs w:val="22"/>
        </w:rPr>
        <w:t>RESTREPO, GLORIA MARÍA</w:t>
      </w:r>
      <w:r w:rsidR="004665B6" w:rsidRPr="00BE005D">
        <w:rPr>
          <w:rStyle w:val="Refdenotaalpie"/>
          <w:rFonts w:ascii="Arial" w:hAnsi="Arial" w:cs="Arial"/>
          <w:bCs/>
          <w:sz w:val="22"/>
          <w:szCs w:val="22"/>
        </w:rPr>
        <w:footnoteReference w:id="1"/>
      </w:r>
      <w:r w:rsidRPr="00BE005D">
        <w:rPr>
          <w:rFonts w:ascii="Arial" w:hAnsi="Arial" w:cs="Arial"/>
          <w:bCs/>
          <w:sz w:val="22"/>
          <w:szCs w:val="22"/>
          <w:vertAlign w:val="superscript"/>
        </w:rPr>
        <w:t>*</w:t>
      </w:r>
      <w:r w:rsidRPr="00BE005D">
        <w:rPr>
          <w:rFonts w:ascii="Arial" w:hAnsi="Arial" w:cs="Arial"/>
          <w:bCs/>
          <w:sz w:val="22"/>
          <w:szCs w:val="22"/>
        </w:rPr>
        <w:t>, VALENZUELA, KAREN TATIANA</w:t>
      </w:r>
      <w:r w:rsidR="004665B6" w:rsidRPr="00BE005D">
        <w:rPr>
          <w:rStyle w:val="Refdenotaalpie"/>
          <w:rFonts w:ascii="Arial" w:hAnsi="Arial" w:cs="Arial"/>
          <w:bCs/>
          <w:sz w:val="22"/>
          <w:szCs w:val="22"/>
        </w:rPr>
        <w:footnoteReference w:id="2"/>
      </w:r>
      <w:r w:rsidRPr="00BE005D">
        <w:rPr>
          <w:rFonts w:ascii="Arial" w:hAnsi="Arial" w:cs="Arial"/>
          <w:bCs/>
          <w:sz w:val="22"/>
          <w:szCs w:val="22"/>
        </w:rPr>
        <w:t>, MARULANDA</w:t>
      </w:r>
      <w:r w:rsidR="00676E9C" w:rsidRPr="00BE005D">
        <w:rPr>
          <w:rFonts w:ascii="Arial" w:hAnsi="Arial" w:cs="Arial"/>
          <w:bCs/>
          <w:sz w:val="22"/>
          <w:szCs w:val="22"/>
        </w:rPr>
        <w:t>,</w:t>
      </w:r>
      <w:r w:rsidRPr="00BE005D">
        <w:rPr>
          <w:rFonts w:ascii="Arial" w:hAnsi="Arial" w:cs="Arial"/>
          <w:bCs/>
          <w:sz w:val="22"/>
          <w:szCs w:val="22"/>
        </w:rPr>
        <w:t xml:space="preserve"> SANDRA MARÍA</w:t>
      </w:r>
      <w:r w:rsidR="004665B6" w:rsidRPr="00BE005D">
        <w:rPr>
          <w:rStyle w:val="Refdenotaalpie"/>
          <w:rFonts w:ascii="Arial" w:hAnsi="Arial" w:cs="Arial"/>
          <w:bCs/>
          <w:sz w:val="22"/>
          <w:szCs w:val="22"/>
        </w:rPr>
        <w:footnoteReference w:id="3"/>
      </w:r>
      <w:r w:rsidRPr="00BE005D">
        <w:rPr>
          <w:rFonts w:ascii="Arial" w:hAnsi="Arial" w:cs="Arial"/>
          <w:bCs/>
          <w:sz w:val="22"/>
          <w:szCs w:val="22"/>
        </w:rPr>
        <w:t>, CEBALLOS</w:t>
      </w:r>
      <w:r w:rsidR="00676E9C" w:rsidRPr="00BE005D">
        <w:rPr>
          <w:rFonts w:ascii="Arial" w:hAnsi="Arial" w:cs="Arial"/>
          <w:bCs/>
          <w:sz w:val="22"/>
          <w:szCs w:val="22"/>
        </w:rPr>
        <w:t>,</w:t>
      </w:r>
      <w:r w:rsidRPr="00BE005D">
        <w:rPr>
          <w:rFonts w:ascii="Arial" w:hAnsi="Arial" w:cs="Arial"/>
          <w:bCs/>
          <w:sz w:val="22"/>
          <w:szCs w:val="22"/>
        </w:rPr>
        <w:t xml:space="preserve"> NELSON</w:t>
      </w:r>
      <w:r w:rsidR="004665B6" w:rsidRPr="00BE005D">
        <w:rPr>
          <w:rStyle w:val="Refdenotaalpie"/>
          <w:rFonts w:ascii="Arial" w:hAnsi="Arial" w:cs="Arial"/>
          <w:bCs/>
          <w:sz w:val="22"/>
          <w:szCs w:val="22"/>
        </w:rPr>
        <w:footnoteReference w:id="4"/>
      </w:r>
      <w:r w:rsidRPr="00BE005D">
        <w:rPr>
          <w:rFonts w:ascii="Arial" w:hAnsi="Arial" w:cs="Arial"/>
          <w:bCs/>
          <w:sz w:val="22"/>
          <w:szCs w:val="22"/>
        </w:rPr>
        <w:t>, HERNÁNDEZ-RODRÍGUEZ</w:t>
      </w:r>
      <w:r w:rsidR="00676E9C" w:rsidRPr="00BE005D">
        <w:rPr>
          <w:rFonts w:ascii="Arial" w:hAnsi="Arial" w:cs="Arial"/>
          <w:bCs/>
          <w:sz w:val="22"/>
          <w:szCs w:val="22"/>
        </w:rPr>
        <w:t>,</w:t>
      </w:r>
      <w:r w:rsidRPr="00BE005D">
        <w:rPr>
          <w:rFonts w:ascii="Arial" w:hAnsi="Arial" w:cs="Arial"/>
          <w:bCs/>
          <w:sz w:val="22"/>
          <w:szCs w:val="22"/>
        </w:rPr>
        <w:t xml:space="preserve"> ANNIA</w:t>
      </w:r>
      <w:r w:rsidR="004665B6" w:rsidRPr="00BE005D">
        <w:rPr>
          <w:rStyle w:val="Refdenotaalpie"/>
          <w:rFonts w:ascii="Arial" w:hAnsi="Arial" w:cs="Arial"/>
          <w:bCs/>
          <w:sz w:val="22"/>
          <w:szCs w:val="22"/>
        </w:rPr>
        <w:footnoteReference w:id="5"/>
      </w:r>
    </w:p>
    <w:p w14:paraId="221E0578" w14:textId="77777777" w:rsidR="00A5361A" w:rsidRPr="00BE005D" w:rsidRDefault="00A5361A">
      <w:pPr>
        <w:pBdr>
          <w:top w:val="nil"/>
          <w:left w:val="nil"/>
          <w:bottom w:val="nil"/>
          <w:right w:val="nil"/>
          <w:between w:val="nil"/>
        </w:pBdr>
        <w:rPr>
          <w:rFonts w:ascii="Arial" w:eastAsia="Arial" w:hAnsi="Arial" w:cs="Arial"/>
          <w:color w:val="000000"/>
          <w:sz w:val="22"/>
          <w:szCs w:val="22"/>
        </w:rPr>
      </w:pPr>
    </w:p>
    <w:p w14:paraId="61AD0559" w14:textId="77777777" w:rsidR="00F13D75" w:rsidRPr="00BE005D" w:rsidRDefault="002544AB">
      <w:pPr>
        <w:jc w:val="both"/>
        <w:rPr>
          <w:rFonts w:ascii="Arial" w:eastAsia="Arial" w:hAnsi="Arial" w:cs="Arial"/>
          <w:sz w:val="22"/>
          <w:szCs w:val="22"/>
        </w:rPr>
      </w:pPr>
      <w:sdt>
        <w:sdtPr>
          <w:rPr>
            <w:sz w:val="22"/>
            <w:szCs w:val="22"/>
          </w:rPr>
          <w:tag w:val="goog_rdk_2"/>
          <w:id w:val="292406234"/>
        </w:sdtPr>
        <w:sdtEndPr/>
        <w:sdtContent/>
      </w:sdt>
      <w:r w:rsidR="0087636D" w:rsidRPr="00BE005D">
        <w:rPr>
          <w:rFonts w:ascii="Arial" w:eastAsia="Arial" w:hAnsi="Arial" w:cs="Arial"/>
          <w:b/>
          <w:sz w:val="22"/>
          <w:szCs w:val="22"/>
        </w:rPr>
        <w:t>ABSTRACT</w:t>
      </w:r>
      <w:r w:rsidR="0087636D" w:rsidRPr="00BE005D">
        <w:rPr>
          <w:rFonts w:ascii="Arial" w:eastAsia="Arial" w:hAnsi="Arial" w:cs="Arial"/>
          <w:sz w:val="22"/>
          <w:szCs w:val="22"/>
        </w:rPr>
        <w:t xml:space="preserve"> </w:t>
      </w:r>
    </w:p>
    <w:p w14:paraId="3D7AD161" w14:textId="2BBF4763" w:rsidR="00223801" w:rsidRPr="00BE005D" w:rsidRDefault="00223801">
      <w:pPr>
        <w:jc w:val="both"/>
        <w:rPr>
          <w:rFonts w:ascii="Arial" w:eastAsia="Arial" w:hAnsi="Arial" w:cs="Arial"/>
          <w:sz w:val="22"/>
          <w:szCs w:val="22"/>
        </w:rPr>
      </w:pPr>
    </w:p>
    <w:p w14:paraId="353D8FF8" w14:textId="77777777" w:rsidR="00223801" w:rsidRPr="00BE005D" w:rsidRDefault="00223801" w:rsidP="00223801">
      <w:pPr>
        <w:jc w:val="both"/>
        <w:rPr>
          <w:rFonts w:ascii="Arial" w:hAnsi="Arial" w:cs="Arial"/>
          <w:bCs/>
          <w:sz w:val="22"/>
          <w:szCs w:val="22"/>
          <w:lang w:val="en-US"/>
        </w:rPr>
      </w:pPr>
      <w:r w:rsidRPr="00BE005D">
        <w:rPr>
          <w:rFonts w:ascii="Arial" w:hAnsi="Arial" w:cs="Arial"/>
          <w:i/>
          <w:sz w:val="22"/>
          <w:szCs w:val="22"/>
          <w:lang w:val="en-US"/>
        </w:rPr>
        <w:t xml:space="preserve">Solanum </w:t>
      </w:r>
      <w:proofErr w:type="spellStart"/>
      <w:r w:rsidRPr="00BE005D">
        <w:rPr>
          <w:rFonts w:ascii="Arial" w:hAnsi="Arial" w:cs="Arial"/>
          <w:i/>
          <w:sz w:val="22"/>
          <w:szCs w:val="22"/>
          <w:lang w:val="en-US"/>
        </w:rPr>
        <w:t>lycopersicum</w:t>
      </w:r>
      <w:proofErr w:type="spellEnd"/>
      <w:r w:rsidRPr="00BE005D">
        <w:rPr>
          <w:rFonts w:ascii="Arial" w:hAnsi="Arial" w:cs="Arial"/>
          <w:i/>
          <w:sz w:val="22"/>
          <w:szCs w:val="22"/>
          <w:lang w:val="en-US"/>
        </w:rPr>
        <w:t xml:space="preserve"> </w:t>
      </w:r>
      <w:r w:rsidRPr="00BE005D">
        <w:rPr>
          <w:rFonts w:ascii="Arial" w:hAnsi="Arial" w:cs="Arial"/>
          <w:sz w:val="22"/>
          <w:szCs w:val="22"/>
          <w:lang w:val="en-US"/>
        </w:rPr>
        <w:t xml:space="preserve">L. is one of the most important crops worldwide with potential for sustainable production through the use of plant growth promoting rhizobacteria such as </w:t>
      </w:r>
      <w:r w:rsidRPr="00BE005D">
        <w:rPr>
          <w:rFonts w:ascii="Arial" w:hAnsi="Arial" w:cs="Arial"/>
          <w:i/>
          <w:iCs/>
          <w:sz w:val="22"/>
          <w:szCs w:val="22"/>
          <w:lang w:val="en-US"/>
        </w:rPr>
        <w:t xml:space="preserve">Gluconacetobacter diazotrophicus, </w:t>
      </w:r>
      <w:r w:rsidRPr="00BE005D">
        <w:rPr>
          <w:rFonts w:ascii="Arial" w:hAnsi="Arial" w:cs="Arial"/>
          <w:sz w:val="22"/>
          <w:szCs w:val="22"/>
          <w:lang w:val="en-US"/>
        </w:rPr>
        <w:t>due to its phosphate solubilization capacity.</w:t>
      </w:r>
      <w:r w:rsidRPr="00BE005D">
        <w:rPr>
          <w:rFonts w:ascii="Arial" w:hAnsi="Arial" w:cs="Arial"/>
          <w:b/>
          <w:sz w:val="22"/>
          <w:szCs w:val="22"/>
          <w:lang w:val="en-US"/>
        </w:rPr>
        <w:t xml:space="preserve"> </w:t>
      </w:r>
      <w:r w:rsidRPr="00BE005D">
        <w:rPr>
          <w:rFonts w:ascii="Arial" w:hAnsi="Arial" w:cs="Arial"/>
          <w:sz w:val="22"/>
          <w:szCs w:val="22"/>
          <w:lang w:val="en-US"/>
        </w:rPr>
        <w:t xml:space="preserve">This study aimed to determine the ability of two native isolates of </w:t>
      </w:r>
      <w:r w:rsidRPr="00BE005D">
        <w:rPr>
          <w:rFonts w:ascii="Arial" w:hAnsi="Arial" w:cs="Arial"/>
          <w:i/>
          <w:sz w:val="22"/>
          <w:szCs w:val="22"/>
          <w:lang w:val="en-US"/>
        </w:rPr>
        <w:t>Gluconacetobacter diazotrophicus</w:t>
      </w:r>
      <w:r w:rsidRPr="00BE005D">
        <w:rPr>
          <w:rFonts w:ascii="Arial" w:hAnsi="Arial" w:cs="Arial"/>
          <w:sz w:val="22"/>
          <w:szCs w:val="22"/>
          <w:lang w:val="en-US"/>
        </w:rPr>
        <w:t xml:space="preserve"> from Colombian agroecosystems to solubilize inorganic phosphate and promote the growth of </w:t>
      </w:r>
      <w:r w:rsidRPr="00BE005D">
        <w:rPr>
          <w:rFonts w:ascii="Arial" w:hAnsi="Arial" w:cs="Arial"/>
          <w:i/>
          <w:sz w:val="22"/>
          <w:szCs w:val="22"/>
          <w:lang w:val="en-US"/>
        </w:rPr>
        <w:t xml:space="preserve">Solanum </w:t>
      </w:r>
      <w:proofErr w:type="spellStart"/>
      <w:r w:rsidRPr="00BE005D">
        <w:rPr>
          <w:rFonts w:ascii="Arial" w:hAnsi="Arial" w:cs="Arial"/>
          <w:i/>
          <w:sz w:val="22"/>
          <w:szCs w:val="22"/>
          <w:lang w:val="en-US"/>
        </w:rPr>
        <w:t>lycopersicum</w:t>
      </w:r>
      <w:proofErr w:type="spellEnd"/>
      <w:r w:rsidRPr="00BE005D">
        <w:rPr>
          <w:rFonts w:ascii="Arial" w:hAnsi="Arial" w:cs="Arial"/>
          <w:sz w:val="22"/>
          <w:szCs w:val="22"/>
          <w:lang w:val="en-US"/>
        </w:rPr>
        <w:t xml:space="preserve"> L. in seedling stage.</w:t>
      </w:r>
      <w:r w:rsidRPr="00BE005D">
        <w:rPr>
          <w:rFonts w:ascii="Arial" w:hAnsi="Arial" w:cs="Arial"/>
          <w:b/>
          <w:bCs/>
          <w:sz w:val="22"/>
          <w:szCs w:val="22"/>
          <w:lang w:val="en-US"/>
        </w:rPr>
        <w:t xml:space="preserve"> </w:t>
      </w:r>
      <w:r w:rsidRPr="00BE005D">
        <w:rPr>
          <w:rFonts w:ascii="Arial" w:hAnsi="Arial" w:cs="Arial"/>
          <w:sz w:val="22"/>
          <w:szCs w:val="22"/>
          <w:lang w:val="en-US"/>
        </w:rPr>
        <w:t>The work was carried out in two stages. In a first stage, the solubilization of phosphorus (P) was measured from three sources of inorganic phosphate (Ca</w:t>
      </w:r>
      <w:r w:rsidRPr="00BE005D">
        <w:rPr>
          <w:rFonts w:ascii="Arial" w:hAnsi="Arial" w:cs="Arial"/>
          <w:sz w:val="22"/>
          <w:szCs w:val="22"/>
          <w:vertAlign w:val="subscript"/>
          <w:lang w:val="en-US"/>
        </w:rPr>
        <w:t>3</w:t>
      </w:r>
      <w:r w:rsidRPr="00BE005D">
        <w:rPr>
          <w:rFonts w:ascii="Arial" w:hAnsi="Arial" w:cs="Arial"/>
          <w:sz w:val="22"/>
          <w:szCs w:val="22"/>
          <w:lang w:val="en-US"/>
        </w:rPr>
        <w:t>(PO</w:t>
      </w:r>
      <w:r w:rsidRPr="00BE005D">
        <w:rPr>
          <w:rFonts w:ascii="Arial" w:hAnsi="Arial" w:cs="Arial"/>
          <w:sz w:val="22"/>
          <w:szCs w:val="22"/>
          <w:vertAlign w:val="subscript"/>
          <w:lang w:val="en-US"/>
        </w:rPr>
        <w:t>4</w:t>
      </w:r>
      <w:r w:rsidRPr="00BE005D">
        <w:rPr>
          <w:rFonts w:ascii="Arial" w:hAnsi="Arial" w:cs="Arial"/>
          <w:sz w:val="22"/>
          <w:szCs w:val="22"/>
          <w:lang w:val="en-US"/>
        </w:rPr>
        <w:t>)</w:t>
      </w:r>
      <w:r w:rsidRPr="00BE005D">
        <w:rPr>
          <w:rFonts w:ascii="Arial" w:hAnsi="Arial" w:cs="Arial"/>
          <w:sz w:val="22"/>
          <w:szCs w:val="22"/>
          <w:vertAlign w:val="subscript"/>
          <w:lang w:val="en-US"/>
        </w:rPr>
        <w:t>2</w:t>
      </w:r>
      <w:r w:rsidRPr="00BE005D">
        <w:rPr>
          <w:rFonts w:ascii="Arial" w:hAnsi="Arial" w:cs="Arial"/>
          <w:sz w:val="22"/>
          <w:szCs w:val="22"/>
          <w:lang w:val="en-US"/>
        </w:rPr>
        <w:t>, AlPO</w:t>
      </w:r>
      <w:r w:rsidRPr="00BE005D">
        <w:rPr>
          <w:rFonts w:ascii="Arial" w:hAnsi="Arial" w:cs="Arial"/>
          <w:sz w:val="22"/>
          <w:szCs w:val="22"/>
          <w:vertAlign w:val="subscript"/>
          <w:lang w:val="en-US"/>
        </w:rPr>
        <w:t>4</w:t>
      </w:r>
      <w:r w:rsidRPr="00BE005D">
        <w:rPr>
          <w:rFonts w:ascii="Arial" w:hAnsi="Arial" w:cs="Arial"/>
          <w:sz w:val="22"/>
          <w:szCs w:val="22"/>
          <w:lang w:val="en-US"/>
        </w:rPr>
        <w:t xml:space="preserve"> and FePO</w:t>
      </w:r>
      <w:r w:rsidRPr="00BE005D">
        <w:rPr>
          <w:rFonts w:ascii="Arial" w:hAnsi="Arial" w:cs="Arial"/>
          <w:sz w:val="22"/>
          <w:szCs w:val="22"/>
          <w:vertAlign w:val="subscript"/>
          <w:lang w:val="en-US"/>
        </w:rPr>
        <w:t>4</w:t>
      </w:r>
      <w:r w:rsidRPr="00BE005D">
        <w:rPr>
          <w:rFonts w:ascii="Arial" w:hAnsi="Arial" w:cs="Arial"/>
          <w:sz w:val="22"/>
          <w:szCs w:val="22"/>
          <w:lang w:val="en-US"/>
        </w:rPr>
        <w:t xml:space="preserve">) in solid NBRIP medium and in submerged cultures. In the second stage, inoculation of tomato seeds was performed with isolates and type strain in the presence and absence of phosphorus fertilizer. The native isolates had the ability to solubilize the three sources of inorganic P, both in solid media and in submerged cultures. Isolates of </w:t>
      </w:r>
      <w:r w:rsidRPr="00BE005D">
        <w:rPr>
          <w:rFonts w:ascii="Arial" w:hAnsi="Arial" w:cs="Arial"/>
          <w:i/>
          <w:sz w:val="22"/>
          <w:szCs w:val="22"/>
          <w:lang w:val="en-US"/>
        </w:rPr>
        <w:t>G. diazotrophicus</w:t>
      </w:r>
      <w:r w:rsidRPr="00BE005D">
        <w:rPr>
          <w:rFonts w:ascii="Arial" w:hAnsi="Arial" w:cs="Arial"/>
          <w:sz w:val="22"/>
          <w:szCs w:val="22"/>
          <w:lang w:val="en-US"/>
        </w:rPr>
        <w:t xml:space="preserve"> GIBI025, GIBI029 and type strain ATCC 49037 achieved a reduction in the days to cotyledon of 18.92%, 13.36% and 9.74% respectively. Isolate GIBI025 stood out with yields on variables related to the promotion of plant growth evaluated equal to or above the control with </w:t>
      </w:r>
      <w:r w:rsidRPr="00BE005D">
        <w:rPr>
          <w:rFonts w:ascii="Arial" w:hAnsi="Arial" w:cs="Arial"/>
          <w:sz w:val="22"/>
          <w:szCs w:val="22"/>
          <w:lang w:val="en-US"/>
        </w:rPr>
        <w:lastRenderedPageBreak/>
        <w:t xml:space="preserve">phosphorus fertilizer, demonstrating the potential of the isolates in promoting the growth of </w:t>
      </w:r>
      <w:r w:rsidRPr="00BE005D">
        <w:rPr>
          <w:rFonts w:ascii="Arial" w:hAnsi="Arial" w:cs="Arial"/>
          <w:i/>
          <w:sz w:val="22"/>
          <w:szCs w:val="22"/>
          <w:lang w:val="en-US"/>
        </w:rPr>
        <w:t xml:space="preserve">Solanum </w:t>
      </w:r>
      <w:proofErr w:type="spellStart"/>
      <w:r w:rsidRPr="00BE005D">
        <w:rPr>
          <w:rFonts w:ascii="Arial" w:hAnsi="Arial" w:cs="Arial"/>
          <w:i/>
          <w:sz w:val="22"/>
          <w:szCs w:val="22"/>
          <w:lang w:val="en-US"/>
        </w:rPr>
        <w:t>lycopersicum</w:t>
      </w:r>
      <w:proofErr w:type="spellEnd"/>
      <w:r w:rsidRPr="00BE005D">
        <w:rPr>
          <w:rFonts w:ascii="Arial" w:hAnsi="Arial" w:cs="Arial"/>
          <w:sz w:val="22"/>
          <w:szCs w:val="22"/>
          <w:lang w:val="en-US"/>
        </w:rPr>
        <w:t xml:space="preserve"> L.</w:t>
      </w:r>
    </w:p>
    <w:p w14:paraId="19611479" w14:textId="77777777" w:rsidR="00223801" w:rsidRPr="00BE005D" w:rsidRDefault="00223801">
      <w:pPr>
        <w:jc w:val="both"/>
        <w:rPr>
          <w:rFonts w:ascii="Arial" w:eastAsia="Arial" w:hAnsi="Arial" w:cs="Arial"/>
          <w:sz w:val="22"/>
          <w:szCs w:val="22"/>
        </w:rPr>
      </w:pPr>
    </w:p>
    <w:p w14:paraId="340ED722" w14:textId="64921C03" w:rsidR="008228B1" w:rsidRPr="00ED7ABA" w:rsidRDefault="0087636D" w:rsidP="00345B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lang w:val="en-US"/>
        </w:rPr>
      </w:pPr>
      <w:r w:rsidRPr="00ED7ABA">
        <w:rPr>
          <w:rFonts w:ascii="Arial" w:eastAsia="Arial" w:hAnsi="Arial" w:cs="Arial"/>
          <w:b/>
          <w:sz w:val="22"/>
          <w:szCs w:val="22"/>
          <w:lang w:val="en-US"/>
        </w:rPr>
        <w:t>KEY WORDS</w:t>
      </w:r>
      <w:r w:rsidRPr="00ED7ABA">
        <w:rPr>
          <w:rFonts w:ascii="Arial" w:eastAsia="Arial" w:hAnsi="Arial" w:cs="Arial"/>
          <w:sz w:val="22"/>
          <w:szCs w:val="22"/>
          <w:lang w:val="en-US"/>
        </w:rPr>
        <w:t xml:space="preserve">: </w:t>
      </w:r>
      <w:r w:rsidR="00CD0C23" w:rsidRPr="00ED7ABA">
        <w:rPr>
          <w:rFonts w:ascii="Arial" w:eastAsia="Arial" w:hAnsi="Arial" w:cs="Arial"/>
          <w:sz w:val="22"/>
          <w:szCs w:val="22"/>
          <w:lang w:val="en-US"/>
        </w:rPr>
        <w:t xml:space="preserve">Biofertilization; </w:t>
      </w:r>
      <w:r w:rsidR="005E488B" w:rsidRPr="00ED7ABA">
        <w:rPr>
          <w:rFonts w:ascii="Arial" w:eastAsia="Arial" w:hAnsi="Arial" w:cs="Arial"/>
          <w:sz w:val="22"/>
          <w:szCs w:val="22"/>
          <w:lang w:val="en-US"/>
        </w:rPr>
        <w:t xml:space="preserve">Bioprospecting; </w:t>
      </w:r>
      <w:r w:rsidR="002F50B0" w:rsidRPr="00ED7ABA">
        <w:rPr>
          <w:rFonts w:ascii="Arial" w:eastAsia="Arial" w:hAnsi="Arial" w:cs="Arial"/>
          <w:i/>
          <w:iCs/>
          <w:sz w:val="22"/>
          <w:szCs w:val="22"/>
          <w:lang w:val="en-US"/>
        </w:rPr>
        <w:t>Gluconacetobacter diazotrophicus</w:t>
      </w:r>
      <w:r w:rsidR="002F50B0" w:rsidRPr="00ED7ABA">
        <w:rPr>
          <w:rFonts w:ascii="Arial" w:eastAsia="Arial" w:hAnsi="Arial" w:cs="Arial"/>
          <w:sz w:val="22"/>
          <w:szCs w:val="22"/>
          <w:lang w:val="en-US"/>
        </w:rPr>
        <w:t xml:space="preserve">; </w:t>
      </w:r>
      <w:r w:rsidR="008228B1" w:rsidRPr="00BE005D">
        <w:rPr>
          <w:rFonts w:ascii="Arial" w:hAnsi="Arial" w:cs="Arial"/>
          <w:sz w:val="22"/>
          <w:szCs w:val="22"/>
          <w:lang w:val="en-US"/>
        </w:rPr>
        <w:t>Organic and inorganic source;</w:t>
      </w:r>
      <w:r w:rsidR="001C44C8" w:rsidRPr="00BE005D">
        <w:rPr>
          <w:rFonts w:ascii="Arial" w:hAnsi="Arial" w:cs="Arial"/>
          <w:sz w:val="22"/>
          <w:szCs w:val="22"/>
          <w:lang w:val="en-US"/>
        </w:rPr>
        <w:t xml:space="preserve"> Plant-bacteria interaction;</w:t>
      </w:r>
      <w:r w:rsidR="008228B1" w:rsidRPr="00BE005D">
        <w:rPr>
          <w:rFonts w:ascii="Arial" w:hAnsi="Arial" w:cs="Arial"/>
          <w:sz w:val="22"/>
          <w:szCs w:val="22"/>
          <w:lang w:val="en-US"/>
        </w:rPr>
        <w:t xml:space="preserve"> </w:t>
      </w:r>
      <w:r w:rsidR="00FB30E3" w:rsidRPr="00BE005D">
        <w:rPr>
          <w:rFonts w:ascii="Arial" w:hAnsi="Arial" w:cs="Arial"/>
          <w:sz w:val="22"/>
          <w:szCs w:val="22"/>
          <w:lang w:val="en-US"/>
        </w:rPr>
        <w:t xml:space="preserve">Plant growth promoting rhizobacteria; </w:t>
      </w:r>
      <w:r w:rsidR="008228B1" w:rsidRPr="00BE005D">
        <w:rPr>
          <w:rFonts w:ascii="Arial" w:hAnsi="Arial" w:cs="Arial"/>
          <w:sz w:val="22"/>
          <w:szCs w:val="22"/>
          <w:lang w:val="en-US"/>
        </w:rPr>
        <w:t>Phosphorus solubilization; Phosphate solubilizing microorganisms</w:t>
      </w:r>
      <w:r w:rsidR="00342D3C" w:rsidRPr="00BE005D">
        <w:rPr>
          <w:rFonts w:ascii="Arial" w:hAnsi="Arial" w:cs="Arial"/>
          <w:sz w:val="22"/>
          <w:szCs w:val="22"/>
          <w:lang w:val="en-US"/>
        </w:rPr>
        <w:t>;</w:t>
      </w:r>
      <w:r w:rsidR="008228B1" w:rsidRPr="00BE005D">
        <w:rPr>
          <w:rFonts w:ascii="Arial" w:hAnsi="Arial" w:cs="Arial"/>
          <w:sz w:val="22"/>
          <w:szCs w:val="22"/>
          <w:lang w:val="en-US"/>
        </w:rPr>
        <w:t xml:space="preserve"> Seedlings tomato; Submerged cultures.</w:t>
      </w:r>
    </w:p>
    <w:p w14:paraId="2352A19D" w14:textId="77777777" w:rsidR="008228B1" w:rsidRPr="00BE005D" w:rsidRDefault="008228B1">
      <w:pPr>
        <w:rPr>
          <w:rFonts w:ascii="Arial" w:eastAsia="Arial" w:hAnsi="Arial" w:cs="Arial"/>
          <w:sz w:val="22"/>
          <w:szCs w:val="22"/>
          <w:lang w:val="en-US"/>
        </w:rPr>
      </w:pPr>
    </w:p>
    <w:p w14:paraId="40F1E997" w14:textId="77777777" w:rsidR="00F13D75" w:rsidRPr="00BE005D" w:rsidRDefault="0087636D">
      <w:pPr>
        <w:rPr>
          <w:rFonts w:ascii="Arial" w:eastAsia="Arial" w:hAnsi="Arial" w:cs="Arial"/>
          <w:b/>
          <w:sz w:val="22"/>
          <w:szCs w:val="22"/>
        </w:rPr>
      </w:pPr>
      <w:r w:rsidRPr="00BE005D">
        <w:rPr>
          <w:rFonts w:ascii="Arial" w:eastAsia="Arial" w:hAnsi="Arial" w:cs="Arial"/>
          <w:b/>
          <w:sz w:val="22"/>
          <w:szCs w:val="22"/>
        </w:rPr>
        <w:t>RESUMEN</w:t>
      </w:r>
    </w:p>
    <w:p w14:paraId="0F4C9EB1" w14:textId="0970AEEA" w:rsidR="00181E79" w:rsidRPr="00BE005D" w:rsidRDefault="00181E79">
      <w:pPr>
        <w:jc w:val="both"/>
        <w:rPr>
          <w:rFonts w:ascii="Arial" w:eastAsia="Arial" w:hAnsi="Arial" w:cs="Arial"/>
          <w:sz w:val="22"/>
          <w:szCs w:val="22"/>
        </w:rPr>
      </w:pPr>
    </w:p>
    <w:p w14:paraId="42F30CD7" w14:textId="154CF294" w:rsidR="00181E79" w:rsidRPr="00BE005D" w:rsidRDefault="00181E79">
      <w:pPr>
        <w:jc w:val="both"/>
        <w:rPr>
          <w:rFonts w:ascii="Arial" w:eastAsia="Arial" w:hAnsi="Arial" w:cs="Arial"/>
          <w:sz w:val="22"/>
          <w:szCs w:val="22"/>
        </w:rPr>
      </w:pPr>
      <w:proofErr w:type="spellStart"/>
      <w:r w:rsidRPr="00BE005D">
        <w:rPr>
          <w:rFonts w:ascii="Arial" w:eastAsia="Arial" w:hAnsi="Arial" w:cs="Arial"/>
          <w:i/>
          <w:iCs/>
          <w:sz w:val="22"/>
          <w:szCs w:val="22"/>
        </w:rPr>
        <w:t>Solanum</w:t>
      </w:r>
      <w:proofErr w:type="spellEnd"/>
      <w:r w:rsidRPr="00BE005D">
        <w:rPr>
          <w:rFonts w:ascii="Arial" w:eastAsia="Arial" w:hAnsi="Arial" w:cs="Arial"/>
          <w:i/>
          <w:iCs/>
          <w:sz w:val="22"/>
          <w:szCs w:val="22"/>
        </w:rPr>
        <w:t xml:space="preserve"> </w:t>
      </w:r>
      <w:proofErr w:type="spellStart"/>
      <w:r w:rsidRPr="00BE005D">
        <w:rPr>
          <w:rFonts w:ascii="Arial" w:eastAsia="Arial" w:hAnsi="Arial" w:cs="Arial"/>
          <w:i/>
          <w:iCs/>
          <w:sz w:val="22"/>
          <w:szCs w:val="22"/>
        </w:rPr>
        <w:t>lycopersicum</w:t>
      </w:r>
      <w:proofErr w:type="spellEnd"/>
      <w:r w:rsidRPr="00BE005D">
        <w:rPr>
          <w:rFonts w:ascii="Arial" w:eastAsia="Arial" w:hAnsi="Arial" w:cs="Arial"/>
          <w:sz w:val="22"/>
          <w:szCs w:val="22"/>
        </w:rPr>
        <w:t xml:space="preserve"> L. es uno de los cultivos más importantes a nivel mundial con potencial de producción sostenible mediante el uso de </w:t>
      </w:r>
      <w:proofErr w:type="spellStart"/>
      <w:r w:rsidRPr="00BE005D">
        <w:rPr>
          <w:rFonts w:ascii="Arial" w:eastAsia="Arial" w:hAnsi="Arial" w:cs="Arial"/>
          <w:sz w:val="22"/>
          <w:szCs w:val="22"/>
        </w:rPr>
        <w:t>rizobacterias</w:t>
      </w:r>
      <w:proofErr w:type="spellEnd"/>
      <w:r w:rsidRPr="00BE005D">
        <w:rPr>
          <w:rFonts w:ascii="Arial" w:eastAsia="Arial" w:hAnsi="Arial" w:cs="Arial"/>
          <w:sz w:val="22"/>
          <w:szCs w:val="22"/>
        </w:rPr>
        <w:t xml:space="preserve"> promotoras del crecimiento vegetal como </w:t>
      </w:r>
      <w:r w:rsidRPr="00BE005D">
        <w:rPr>
          <w:rFonts w:ascii="Arial" w:eastAsia="Arial" w:hAnsi="Arial" w:cs="Arial"/>
          <w:i/>
          <w:iCs/>
          <w:sz w:val="22"/>
          <w:szCs w:val="22"/>
        </w:rPr>
        <w:t>Gluconacetobacter diazotrophicus</w:t>
      </w:r>
      <w:r w:rsidRPr="00BE005D">
        <w:rPr>
          <w:rFonts w:ascii="Arial" w:eastAsia="Arial" w:hAnsi="Arial" w:cs="Arial"/>
          <w:sz w:val="22"/>
          <w:szCs w:val="22"/>
        </w:rPr>
        <w:t xml:space="preserve">, debido a su capacidad de solubilización de fosfatos. Este estudio tuvo como objetivo determinar la capacidad de dos aislamientos nativos de </w:t>
      </w:r>
      <w:r w:rsidRPr="00BE005D">
        <w:rPr>
          <w:rFonts w:ascii="Arial" w:eastAsia="Arial" w:hAnsi="Arial" w:cs="Arial"/>
          <w:i/>
          <w:iCs/>
          <w:sz w:val="22"/>
          <w:szCs w:val="22"/>
        </w:rPr>
        <w:t>Gluconacetobacter diazotrophicus</w:t>
      </w:r>
      <w:r w:rsidRPr="00BE005D">
        <w:rPr>
          <w:rFonts w:ascii="Arial" w:eastAsia="Arial" w:hAnsi="Arial" w:cs="Arial"/>
          <w:sz w:val="22"/>
          <w:szCs w:val="22"/>
        </w:rPr>
        <w:t xml:space="preserve"> de </w:t>
      </w:r>
      <w:proofErr w:type="spellStart"/>
      <w:r w:rsidRPr="00BE005D">
        <w:rPr>
          <w:rFonts w:ascii="Arial" w:eastAsia="Arial" w:hAnsi="Arial" w:cs="Arial"/>
          <w:sz w:val="22"/>
          <w:szCs w:val="22"/>
        </w:rPr>
        <w:t>agroecosistemas</w:t>
      </w:r>
      <w:proofErr w:type="spellEnd"/>
      <w:r w:rsidRPr="00BE005D">
        <w:rPr>
          <w:rFonts w:ascii="Arial" w:eastAsia="Arial" w:hAnsi="Arial" w:cs="Arial"/>
          <w:sz w:val="22"/>
          <w:szCs w:val="22"/>
        </w:rPr>
        <w:t xml:space="preserve"> colombianos para solubilizar fosfato inorgánico y promover el crecimiento de plántulas de </w:t>
      </w:r>
      <w:proofErr w:type="spellStart"/>
      <w:r w:rsidRPr="00BE005D">
        <w:rPr>
          <w:rFonts w:ascii="Arial" w:eastAsia="Arial" w:hAnsi="Arial" w:cs="Arial"/>
          <w:i/>
          <w:iCs/>
          <w:sz w:val="22"/>
          <w:szCs w:val="22"/>
        </w:rPr>
        <w:t>Solanum</w:t>
      </w:r>
      <w:proofErr w:type="spellEnd"/>
      <w:r w:rsidRPr="00BE005D">
        <w:rPr>
          <w:rFonts w:ascii="Arial" w:eastAsia="Arial" w:hAnsi="Arial" w:cs="Arial"/>
          <w:i/>
          <w:iCs/>
          <w:sz w:val="22"/>
          <w:szCs w:val="22"/>
        </w:rPr>
        <w:t xml:space="preserve"> </w:t>
      </w:r>
      <w:proofErr w:type="spellStart"/>
      <w:r w:rsidRPr="00BE005D">
        <w:rPr>
          <w:rFonts w:ascii="Arial" w:eastAsia="Arial" w:hAnsi="Arial" w:cs="Arial"/>
          <w:i/>
          <w:iCs/>
          <w:sz w:val="22"/>
          <w:szCs w:val="22"/>
        </w:rPr>
        <w:t>lycopersicum</w:t>
      </w:r>
      <w:proofErr w:type="spellEnd"/>
      <w:r w:rsidRPr="00BE005D">
        <w:rPr>
          <w:rFonts w:ascii="Arial" w:eastAsia="Arial" w:hAnsi="Arial" w:cs="Arial"/>
          <w:sz w:val="22"/>
          <w:szCs w:val="22"/>
        </w:rPr>
        <w:t xml:space="preserve"> L. El trabajo se llevó a cabo en dos etapas. En una primera etapa, se midió la solubilización del fósforo (P) a partir de tres fuentes de fosfato inorgánico (Ca</w:t>
      </w:r>
      <w:r w:rsidRPr="00BE005D">
        <w:rPr>
          <w:rFonts w:ascii="Arial" w:eastAsia="Arial" w:hAnsi="Arial" w:cs="Arial"/>
          <w:sz w:val="22"/>
          <w:szCs w:val="22"/>
          <w:vertAlign w:val="subscript"/>
        </w:rPr>
        <w:t>3</w:t>
      </w:r>
      <w:r w:rsidRPr="00BE005D">
        <w:rPr>
          <w:rFonts w:ascii="Arial" w:eastAsia="Arial" w:hAnsi="Arial" w:cs="Arial"/>
          <w:sz w:val="22"/>
          <w:szCs w:val="22"/>
        </w:rPr>
        <w:t xml:space="preserve"> (PO</w:t>
      </w:r>
      <w:r w:rsidRPr="00BE005D">
        <w:rPr>
          <w:rFonts w:ascii="Arial" w:eastAsia="Arial" w:hAnsi="Arial" w:cs="Arial"/>
          <w:sz w:val="22"/>
          <w:szCs w:val="22"/>
          <w:vertAlign w:val="subscript"/>
        </w:rPr>
        <w:t>4</w:t>
      </w:r>
      <w:r w:rsidRPr="00BE005D">
        <w:rPr>
          <w:rFonts w:ascii="Arial" w:eastAsia="Arial" w:hAnsi="Arial" w:cs="Arial"/>
          <w:sz w:val="22"/>
          <w:szCs w:val="22"/>
        </w:rPr>
        <w:t>)</w:t>
      </w:r>
      <w:r w:rsidRPr="00BE005D">
        <w:rPr>
          <w:rFonts w:ascii="Arial" w:eastAsia="Arial" w:hAnsi="Arial" w:cs="Arial"/>
          <w:sz w:val="22"/>
          <w:szCs w:val="22"/>
          <w:vertAlign w:val="subscript"/>
        </w:rPr>
        <w:t>2</w:t>
      </w:r>
      <w:r w:rsidRPr="00BE005D">
        <w:rPr>
          <w:rFonts w:ascii="Arial" w:eastAsia="Arial" w:hAnsi="Arial" w:cs="Arial"/>
          <w:sz w:val="22"/>
          <w:szCs w:val="22"/>
        </w:rPr>
        <w:t>, AlPO</w:t>
      </w:r>
      <w:r w:rsidRPr="00BE005D">
        <w:rPr>
          <w:rFonts w:ascii="Arial" w:eastAsia="Arial" w:hAnsi="Arial" w:cs="Arial"/>
          <w:sz w:val="22"/>
          <w:szCs w:val="22"/>
          <w:vertAlign w:val="subscript"/>
        </w:rPr>
        <w:t>4</w:t>
      </w:r>
      <w:r w:rsidRPr="00BE005D">
        <w:rPr>
          <w:rFonts w:ascii="Arial" w:eastAsia="Arial" w:hAnsi="Arial" w:cs="Arial"/>
          <w:sz w:val="22"/>
          <w:szCs w:val="22"/>
        </w:rPr>
        <w:t xml:space="preserve"> y FePO</w:t>
      </w:r>
      <w:r w:rsidRPr="00BE005D">
        <w:rPr>
          <w:rFonts w:ascii="Arial" w:eastAsia="Arial" w:hAnsi="Arial" w:cs="Arial"/>
          <w:sz w:val="22"/>
          <w:szCs w:val="22"/>
          <w:vertAlign w:val="subscript"/>
        </w:rPr>
        <w:t>4</w:t>
      </w:r>
      <w:r w:rsidRPr="00BE005D">
        <w:rPr>
          <w:rFonts w:ascii="Arial" w:eastAsia="Arial" w:hAnsi="Arial" w:cs="Arial"/>
          <w:sz w:val="22"/>
          <w:szCs w:val="22"/>
        </w:rPr>
        <w:t xml:space="preserve">) en medio NBRIP sólido y en cultivos sumergidos. En la segunda etapa, se realizó la inoculación de semillas de tomate con aislamientos y cepa </w:t>
      </w:r>
      <w:r w:rsidR="009F7F3D" w:rsidRPr="00BE005D">
        <w:rPr>
          <w:rFonts w:ascii="Arial" w:eastAsia="Arial" w:hAnsi="Arial" w:cs="Arial"/>
          <w:sz w:val="22"/>
          <w:szCs w:val="22"/>
        </w:rPr>
        <w:t>patrón</w:t>
      </w:r>
      <w:r w:rsidRPr="00BE005D">
        <w:rPr>
          <w:rFonts w:ascii="Arial" w:eastAsia="Arial" w:hAnsi="Arial" w:cs="Arial"/>
          <w:sz w:val="22"/>
          <w:szCs w:val="22"/>
        </w:rPr>
        <w:t xml:space="preserve"> en presencia y ausencia de fertilizante de fósforo. Los aislados nativos t</w:t>
      </w:r>
      <w:r w:rsidR="009F7F3D" w:rsidRPr="00BE005D">
        <w:rPr>
          <w:rFonts w:ascii="Arial" w:eastAsia="Arial" w:hAnsi="Arial" w:cs="Arial"/>
          <w:sz w:val="22"/>
          <w:szCs w:val="22"/>
        </w:rPr>
        <w:t>uvieron</w:t>
      </w:r>
      <w:r w:rsidRPr="00BE005D">
        <w:rPr>
          <w:rFonts w:ascii="Arial" w:eastAsia="Arial" w:hAnsi="Arial" w:cs="Arial"/>
          <w:sz w:val="22"/>
          <w:szCs w:val="22"/>
        </w:rPr>
        <w:t xml:space="preserve"> la capacidad de solubilizar las tres fuentes de P inorgánico, tanto en medios sólidos como en cultivos sumergidos. Los aislamientos de </w:t>
      </w:r>
      <w:r w:rsidRPr="00BE005D">
        <w:rPr>
          <w:rFonts w:ascii="Arial" w:eastAsia="Arial" w:hAnsi="Arial" w:cs="Arial"/>
          <w:i/>
          <w:iCs/>
          <w:sz w:val="22"/>
          <w:szCs w:val="22"/>
        </w:rPr>
        <w:t>G. diazotrophicus</w:t>
      </w:r>
      <w:r w:rsidRPr="00BE005D">
        <w:rPr>
          <w:rFonts w:ascii="Arial" w:eastAsia="Arial" w:hAnsi="Arial" w:cs="Arial"/>
          <w:sz w:val="22"/>
          <w:szCs w:val="22"/>
        </w:rPr>
        <w:t xml:space="preserve"> GIBI025, GIBI029 y la cepa tipo ATCC 49037 lograron una reducción de los días a cotiledón de 18,92%, 13,36% y 9,74% respectivamente. El aislamiento GIBI025 se destacó con rendimientos en variables relacionadas con la promoción del crecimiento vegetal evaluados iguales o superiores al control con fertilizante de fósforo, demostrando el potencial de los aislados en promover el crecimiento de </w:t>
      </w:r>
      <w:proofErr w:type="spellStart"/>
      <w:r w:rsidRPr="00BE005D">
        <w:rPr>
          <w:rFonts w:ascii="Arial" w:eastAsia="Arial" w:hAnsi="Arial" w:cs="Arial"/>
          <w:i/>
          <w:iCs/>
          <w:sz w:val="22"/>
          <w:szCs w:val="22"/>
        </w:rPr>
        <w:t>Solanum</w:t>
      </w:r>
      <w:proofErr w:type="spellEnd"/>
      <w:r w:rsidRPr="00BE005D">
        <w:rPr>
          <w:rFonts w:ascii="Arial" w:eastAsia="Arial" w:hAnsi="Arial" w:cs="Arial"/>
          <w:i/>
          <w:iCs/>
          <w:sz w:val="22"/>
          <w:szCs w:val="22"/>
        </w:rPr>
        <w:t xml:space="preserve"> </w:t>
      </w:r>
      <w:proofErr w:type="spellStart"/>
      <w:r w:rsidRPr="00BE005D">
        <w:rPr>
          <w:rFonts w:ascii="Arial" w:eastAsia="Arial" w:hAnsi="Arial" w:cs="Arial"/>
          <w:i/>
          <w:iCs/>
          <w:sz w:val="22"/>
          <w:szCs w:val="22"/>
        </w:rPr>
        <w:t>lycopersicum</w:t>
      </w:r>
      <w:proofErr w:type="spellEnd"/>
      <w:r w:rsidRPr="00BE005D">
        <w:rPr>
          <w:rFonts w:ascii="Arial" w:eastAsia="Arial" w:hAnsi="Arial" w:cs="Arial"/>
          <w:sz w:val="22"/>
          <w:szCs w:val="22"/>
        </w:rPr>
        <w:t xml:space="preserve"> L.</w:t>
      </w:r>
    </w:p>
    <w:p w14:paraId="174FE5BF" w14:textId="77777777" w:rsidR="00430948" w:rsidRPr="00BE005D" w:rsidRDefault="00430948">
      <w:pPr>
        <w:jc w:val="both"/>
        <w:rPr>
          <w:rFonts w:ascii="Arial" w:eastAsia="Arial" w:hAnsi="Arial" w:cs="Arial"/>
          <w:sz w:val="22"/>
          <w:szCs w:val="22"/>
        </w:rPr>
      </w:pPr>
    </w:p>
    <w:p w14:paraId="2893D4F4" w14:textId="3F5BB46A" w:rsidR="00F13D75" w:rsidRPr="00BE005D" w:rsidRDefault="0087636D">
      <w:pPr>
        <w:jc w:val="both"/>
        <w:rPr>
          <w:rFonts w:ascii="Arial" w:eastAsia="Arial" w:hAnsi="Arial" w:cs="Arial"/>
          <w:sz w:val="22"/>
          <w:szCs w:val="22"/>
        </w:rPr>
      </w:pPr>
      <w:r w:rsidRPr="00BE005D">
        <w:rPr>
          <w:rFonts w:ascii="Arial" w:eastAsia="Arial" w:hAnsi="Arial" w:cs="Arial"/>
          <w:b/>
          <w:sz w:val="22"/>
          <w:szCs w:val="22"/>
        </w:rPr>
        <w:t>PALABRAS CLAVES</w:t>
      </w:r>
      <w:r w:rsidRPr="00BE005D">
        <w:rPr>
          <w:rFonts w:ascii="Arial" w:eastAsia="Arial" w:hAnsi="Arial" w:cs="Arial"/>
          <w:sz w:val="22"/>
          <w:szCs w:val="22"/>
        </w:rPr>
        <w:t xml:space="preserve">: </w:t>
      </w:r>
      <w:proofErr w:type="spellStart"/>
      <w:r w:rsidR="002926EE" w:rsidRPr="00BE005D">
        <w:rPr>
          <w:rFonts w:ascii="Arial" w:eastAsia="Arial" w:hAnsi="Arial" w:cs="Arial"/>
          <w:sz w:val="22"/>
          <w:szCs w:val="22"/>
        </w:rPr>
        <w:t>Biofertilización</w:t>
      </w:r>
      <w:proofErr w:type="spellEnd"/>
      <w:r w:rsidR="002926EE" w:rsidRPr="00BE005D">
        <w:rPr>
          <w:rFonts w:ascii="Arial" w:eastAsia="Arial" w:hAnsi="Arial" w:cs="Arial"/>
          <w:sz w:val="22"/>
          <w:szCs w:val="22"/>
        </w:rPr>
        <w:t xml:space="preserve">; Bioprospección; </w:t>
      </w:r>
      <w:r w:rsidR="006F4F9E" w:rsidRPr="00BE005D">
        <w:rPr>
          <w:rFonts w:ascii="Arial" w:eastAsia="Arial" w:hAnsi="Arial" w:cs="Arial"/>
          <w:sz w:val="22"/>
          <w:szCs w:val="22"/>
        </w:rPr>
        <w:t xml:space="preserve">Cultivos sumergidos; </w:t>
      </w:r>
      <w:r w:rsidR="002926EE" w:rsidRPr="00BE005D">
        <w:rPr>
          <w:rFonts w:ascii="Arial" w:eastAsia="Arial" w:hAnsi="Arial" w:cs="Arial"/>
          <w:i/>
          <w:iCs/>
          <w:sz w:val="22"/>
          <w:szCs w:val="22"/>
        </w:rPr>
        <w:t>Gluconacetobacter diazotrophicus</w:t>
      </w:r>
      <w:r w:rsidR="002926EE" w:rsidRPr="00BE005D">
        <w:rPr>
          <w:rFonts w:ascii="Arial" w:eastAsia="Arial" w:hAnsi="Arial" w:cs="Arial"/>
          <w:sz w:val="22"/>
          <w:szCs w:val="22"/>
        </w:rPr>
        <w:t xml:space="preserve">; </w:t>
      </w:r>
      <w:r w:rsidR="00342D3C" w:rsidRPr="00BE005D">
        <w:rPr>
          <w:rFonts w:ascii="Arial" w:eastAsia="Arial" w:hAnsi="Arial" w:cs="Arial"/>
          <w:sz w:val="22"/>
          <w:szCs w:val="22"/>
        </w:rPr>
        <w:t xml:space="preserve">Fuente orgánica e inorgánica; </w:t>
      </w:r>
      <w:r w:rsidR="002926EE" w:rsidRPr="00BE005D">
        <w:rPr>
          <w:rFonts w:ascii="Arial" w:eastAsia="Arial" w:hAnsi="Arial" w:cs="Arial"/>
          <w:sz w:val="22"/>
          <w:szCs w:val="22"/>
        </w:rPr>
        <w:t xml:space="preserve">Interacción planta-bacteria; </w:t>
      </w:r>
      <w:r w:rsidR="006F4F9E" w:rsidRPr="00BE005D">
        <w:rPr>
          <w:rFonts w:ascii="Arial" w:eastAsia="Arial" w:hAnsi="Arial" w:cs="Arial"/>
          <w:sz w:val="22"/>
          <w:szCs w:val="22"/>
        </w:rPr>
        <w:t xml:space="preserve">Microorganismos </w:t>
      </w:r>
      <w:proofErr w:type="spellStart"/>
      <w:r w:rsidR="006F4F9E" w:rsidRPr="00BE005D">
        <w:rPr>
          <w:rFonts w:ascii="Arial" w:eastAsia="Arial" w:hAnsi="Arial" w:cs="Arial"/>
          <w:sz w:val="22"/>
          <w:szCs w:val="22"/>
        </w:rPr>
        <w:t>solubilizadores</w:t>
      </w:r>
      <w:proofErr w:type="spellEnd"/>
      <w:r w:rsidR="006F4F9E" w:rsidRPr="00BE005D">
        <w:rPr>
          <w:rFonts w:ascii="Arial" w:eastAsia="Arial" w:hAnsi="Arial" w:cs="Arial"/>
          <w:sz w:val="22"/>
          <w:szCs w:val="22"/>
        </w:rPr>
        <w:t xml:space="preserve"> de fosfato; Plántulas de tomate; </w:t>
      </w:r>
      <w:proofErr w:type="spellStart"/>
      <w:r w:rsidR="002926EE" w:rsidRPr="00BE005D">
        <w:rPr>
          <w:rFonts w:ascii="Arial" w:eastAsia="Arial" w:hAnsi="Arial" w:cs="Arial"/>
          <w:sz w:val="22"/>
          <w:szCs w:val="22"/>
        </w:rPr>
        <w:t>Rizobacterias</w:t>
      </w:r>
      <w:proofErr w:type="spellEnd"/>
      <w:r w:rsidR="002926EE" w:rsidRPr="00BE005D">
        <w:rPr>
          <w:rFonts w:ascii="Arial" w:eastAsia="Arial" w:hAnsi="Arial" w:cs="Arial"/>
          <w:sz w:val="22"/>
          <w:szCs w:val="22"/>
        </w:rPr>
        <w:t xml:space="preserve"> Promotoras del Crecimiento Vegetal; </w:t>
      </w:r>
      <w:r w:rsidR="00342D3C" w:rsidRPr="00BE005D">
        <w:rPr>
          <w:rFonts w:ascii="Arial" w:eastAsia="Arial" w:hAnsi="Arial" w:cs="Arial"/>
          <w:sz w:val="22"/>
          <w:szCs w:val="22"/>
        </w:rPr>
        <w:t>Solubilización de fósforo.</w:t>
      </w:r>
    </w:p>
    <w:p w14:paraId="5C63A183" w14:textId="75381580" w:rsidR="00342D3C" w:rsidRPr="00BE005D" w:rsidRDefault="00342D3C">
      <w:pPr>
        <w:jc w:val="both"/>
        <w:rPr>
          <w:rFonts w:ascii="Arial" w:eastAsia="Arial" w:hAnsi="Arial" w:cs="Arial"/>
          <w:sz w:val="22"/>
          <w:szCs w:val="22"/>
        </w:rPr>
      </w:pPr>
    </w:p>
    <w:p w14:paraId="3FDCA9DF" w14:textId="77777777" w:rsidR="00F13D75" w:rsidRPr="00BE005D" w:rsidRDefault="0087636D">
      <w:pPr>
        <w:pBdr>
          <w:top w:val="nil"/>
          <w:left w:val="nil"/>
          <w:bottom w:val="nil"/>
          <w:right w:val="nil"/>
          <w:between w:val="nil"/>
        </w:pBdr>
        <w:rPr>
          <w:rFonts w:ascii="Arial" w:eastAsia="Arial" w:hAnsi="Arial" w:cs="Arial"/>
          <w:b/>
          <w:color w:val="000000"/>
          <w:sz w:val="22"/>
          <w:szCs w:val="22"/>
        </w:rPr>
      </w:pPr>
      <w:r w:rsidRPr="00BE005D">
        <w:rPr>
          <w:rFonts w:ascii="Arial" w:eastAsia="Arial" w:hAnsi="Arial" w:cs="Arial"/>
          <w:b/>
          <w:color w:val="000000"/>
          <w:sz w:val="22"/>
          <w:szCs w:val="22"/>
        </w:rPr>
        <w:t>INTRODUCTION</w:t>
      </w:r>
    </w:p>
    <w:p w14:paraId="0F6DB638" w14:textId="77777777" w:rsidR="00F13D75" w:rsidRPr="00BE005D" w:rsidRDefault="00F13D75">
      <w:pPr>
        <w:pBdr>
          <w:top w:val="nil"/>
          <w:left w:val="nil"/>
          <w:bottom w:val="nil"/>
          <w:right w:val="nil"/>
          <w:between w:val="nil"/>
        </w:pBdr>
        <w:ind w:left="720" w:hanging="720"/>
        <w:rPr>
          <w:rFonts w:ascii="Arial" w:eastAsia="Arial" w:hAnsi="Arial" w:cs="Arial"/>
          <w:b/>
          <w:color w:val="000000"/>
          <w:sz w:val="22"/>
          <w:szCs w:val="22"/>
        </w:rPr>
      </w:pPr>
    </w:p>
    <w:p w14:paraId="1C2426B7" w14:textId="78F6B042" w:rsidR="00353C2B" w:rsidRPr="00BE005D" w:rsidRDefault="00353C2B" w:rsidP="00353C2B">
      <w:pPr>
        <w:jc w:val="both"/>
        <w:rPr>
          <w:rFonts w:ascii="Arial" w:hAnsi="Arial" w:cs="Arial"/>
          <w:sz w:val="22"/>
          <w:szCs w:val="22"/>
          <w:lang w:val="en-US"/>
        </w:rPr>
      </w:pPr>
      <w:r w:rsidRPr="00BE005D">
        <w:rPr>
          <w:rFonts w:ascii="Arial" w:hAnsi="Arial" w:cs="Arial"/>
          <w:i/>
          <w:sz w:val="22"/>
          <w:szCs w:val="22"/>
          <w:lang w:val="en-US"/>
        </w:rPr>
        <w:t xml:space="preserve">Solanum </w:t>
      </w:r>
      <w:proofErr w:type="spellStart"/>
      <w:r w:rsidRPr="00BE005D">
        <w:rPr>
          <w:rFonts w:ascii="Arial" w:hAnsi="Arial" w:cs="Arial"/>
          <w:i/>
          <w:sz w:val="22"/>
          <w:szCs w:val="22"/>
          <w:lang w:val="en-US"/>
        </w:rPr>
        <w:t>lycopersicum</w:t>
      </w:r>
      <w:proofErr w:type="spellEnd"/>
      <w:r w:rsidRPr="00BE005D">
        <w:rPr>
          <w:rFonts w:ascii="Arial" w:hAnsi="Arial" w:cs="Arial"/>
          <w:i/>
          <w:sz w:val="22"/>
          <w:szCs w:val="22"/>
          <w:lang w:val="en-US"/>
        </w:rPr>
        <w:t xml:space="preserve"> </w:t>
      </w:r>
      <w:r w:rsidRPr="00BE005D">
        <w:rPr>
          <w:rFonts w:ascii="Arial" w:hAnsi="Arial" w:cs="Arial"/>
          <w:sz w:val="22"/>
          <w:szCs w:val="22"/>
          <w:lang w:val="en-US"/>
        </w:rPr>
        <w:t>L. is one of the most important crops worldwide (FAOSTAT</w:t>
      </w:r>
      <w:r w:rsidR="001573B2" w:rsidRPr="00BE005D">
        <w:rPr>
          <w:rFonts w:ascii="Arial" w:hAnsi="Arial" w:cs="Arial"/>
          <w:sz w:val="22"/>
          <w:szCs w:val="22"/>
          <w:lang w:val="en-US"/>
        </w:rPr>
        <w:t>,</w:t>
      </w:r>
      <w:r w:rsidRPr="00BE005D">
        <w:rPr>
          <w:rFonts w:ascii="Arial" w:hAnsi="Arial" w:cs="Arial"/>
          <w:sz w:val="22"/>
          <w:szCs w:val="22"/>
          <w:lang w:val="en-US"/>
        </w:rPr>
        <w:t xml:space="preserve"> 201</w:t>
      </w:r>
      <w:r w:rsidR="00D31A87" w:rsidRPr="00BE005D">
        <w:rPr>
          <w:rFonts w:ascii="Arial" w:hAnsi="Arial" w:cs="Arial"/>
          <w:sz w:val="22"/>
          <w:szCs w:val="22"/>
          <w:lang w:val="en-US"/>
        </w:rPr>
        <w:t>9</w:t>
      </w:r>
      <w:r w:rsidRPr="00BE005D">
        <w:rPr>
          <w:rFonts w:ascii="Arial" w:hAnsi="Arial" w:cs="Arial"/>
          <w:sz w:val="22"/>
          <w:szCs w:val="22"/>
          <w:lang w:val="en-US"/>
        </w:rPr>
        <w:t xml:space="preserve">); however, to achieve high yields in production, it is required the use of large amounts of agrochemicals for crop nutrition and pest control. These practices increase production costs and promote environmental pollution </w:t>
      </w:r>
      <w:r w:rsidRPr="00BE005D">
        <w:rPr>
          <w:rFonts w:ascii="Arial" w:hAnsi="Arial" w:cs="Arial"/>
          <w:color w:val="222222"/>
          <w:sz w:val="22"/>
          <w:szCs w:val="22"/>
          <w:shd w:val="clear" w:color="auto" w:fill="FFFFFF"/>
          <w:lang w:val="en-US"/>
        </w:rPr>
        <w:t>(</w:t>
      </w:r>
      <w:r w:rsidR="003C3CAA" w:rsidRPr="00BE005D">
        <w:rPr>
          <w:rFonts w:ascii="Arial" w:hAnsi="Arial" w:cs="Arial"/>
          <w:sz w:val="22"/>
          <w:szCs w:val="22"/>
          <w:lang w:val="en-US"/>
        </w:rPr>
        <w:t>S</w:t>
      </w:r>
      <w:r w:rsidR="00347BFE" w:rsidRPr="00BE005D">
        <w:rPr>
          <w:rFonts w:ascii="Arial" w:hAnsi="Arial" w:cs="Arial"/>
          <w:sz w:val="22"/>
          <w:szCs w:val="22"/>
          <w:lang w:val="en-US"/>
        </w:rPr>
        <w:t xml:space="preserve">hang </w:t>
      </w:r>
      <w:r w:rsidR="00347BFE" w:rsidRPr="00BE005D">
        <w:rPr>
          <w:rFonts w:ascii="Arial" w:hAnsi="Arial" w:cs="Arial"/>
          <w:i/>
          <w:iCs/>
          <w:sz w:val="22"/>
          <w:szCs w:val="22"/>
          <w:lang w:val="en-US"/>
        </w:rPr>
        <w:t>et al</w:t>
      </w:r>
      <w:r w:rsidR="00347BFE" w:rsidRPr="00BE005D">
        <w:rPr>
          <w:rFonts w:ascii="Arial" w:hAnsi="Arial" w:cs="Arial"/>
          <w:sz w:val="22"/>
          <w:szCs w:val="22"/>
          <w:lang w:val="en-US"/>
        </w:rPr>
        <w:t>., 2019</w:t>
      </w:r>
      <w:r w:rsidRPr="00BE005D">
        <w:rPr>
          <w:rFonts w:ascii="Arial" w:hAnsi="Arial" w:cs="Arial"/>
          <w:sz w:val="22"/>
          <w:szCs w:val="22"/>
          <w:lang w:val="en-US"/>
        </w:rPr>
        <w:t>).</w:t>
      </w:r>
    </w:p>
    <w:p w14:paraId="4C7D24B5" w14:textId="77777777" w:rsidR="000F1BD1" w:rsidRPr="00BE005D" w:rsidRDefault="000F1BD1" w:rsidP="00353C2B">
      <w:pPr>
        <w:jc w:val="both"/>
        <w:rPr>
          <w:rFonts w:ascii="Arial" w:hAnsi="Arial" w:cs="Arial"/>
          <w:sz w:val="22"/>
          <w:szCs w:val="22"/>
          <w:lang w:val="en-US"/>
        </w:rPr>
      </w:pPr>
    </w:p>
    <w:p w14:paraId="31EDF6A6" w14:textId="68F627DD" w:rsidR="00353C2B" w:rsidRPr="00BE005D" w:rsidRDefault="00353C2B" w:rsidP="00353C2B">
      <w:pPr>
        <w:jc w:val="both"/>
        <w:rPr>
          <w:rFonts w:ascii="Arial" w:hAnsi="Arial" w:cs="Arial"/>
          <w:sz w:val="22"/>
          <w:szCs w:val="22"/>
          <w:lang w:val="en-US"/>
        </w:rPr>
      </w:pPr>
      <w:r w:rsidRPr="00BE005D">
        <w:rPr>
          <w:rFonts w:ascii="Arial" w:hAnsi="Arial" w:cs="Arial"/>
          <w:sz w:val="22"/>
          <w:szCs w:val="22"/>
          <w:lang w:val="en-US"/>
        </w:rPr>
        <w:t>P</w:t>
      </w:r>
      <w:r w:rsidR="00306F2E" w:rsidRPr="00BE005D">
        <w:rPr>
          <w:rFonts w:ascii="Arial" w:hAnsi="Arial" w:cs="Arial"/>
          <w:sz w:val="22"/>
          <w:szCs w:val="22"/>
          <w:lang w:val="en-US"/>
        </w:rPr>
        <w:t>hosphorus</w:t>
      </w:r>
      <w:r w:rsidRPr="00BE005D">
        <w:rPr>
          <w:rFonts w:ascii="Arial" w:hAnsi="Arial" w:cs="Arial"/>
          <w:sz w:val="22"/>
          <w:szCs w:val="22"/>
          <w:lang w:val="en-US"/>
        </w:rPr>
        <w:t xml:space="preserve"> </w:t>
      </w:r>
      <w:r w:rsidR="00184FAB" w:rsidRPr="00BE005D">
        <w:rPr>
          <w:rFonts w:ascii="Arial" w:hAnsi="Arial" w:cs="Arial"/>
          <w:sz w:val="22"/>
          <w:szCs w:val="22"/>
          <w:lang w:val="en-US"/>
        </w:rPr>
        <w:t xml:space="preserve">(P) </w:t>
      </w:r>
      <w:r w:rsidRPr="00BE005D">
        <w:rPr>
          <w:rFonts w:ascii="Arial" w:hAnsi="Arial" w:cs="Arial"/>
          <w:sz w:val="22"/>
          <w:szCs w:val="22"/>
          <w:lang w:val="en-US"/>
        </w:rPr>
        <w:t>is one of the most important macronutrients for plant development. It is present as a constituent of macromolecular structures and as a metabolite involved in energy transfer, protein activation, cell division, photosynthesis, regulation of metabolic processes, among others (</w:t>
      </w:r>
      <w:r w:rsidR="00956A0C" w:rsidRPr="00BE005D">
        <w:rPr>
          <w:rFonts w:ascii="Arial" w:hAnsi="Arial" w:cs="Arial"/>
          <w:noProof/>
          <w:sz w:val="22"/>
          <w:szCs w:val="22"/>
          <w:lang w:val="en-US"/>
        </w:rPr>
        <w:t xml:space="preserve">de Bang </w:t>
      </w:r>
      <w:r w:rsidR="00956A0C" w:rsidRPr="00BE005D">
        <w:rPr>
          <w:rFonts w:ascii="Arial" w:hAnsi="Arial" w:cs="Arial"/>
          <w:i/>
          <w:iCs/>
          <w:noProof/>
          <w:sz w:val="22"/>
          <w:szCs w:val="22"/>
          <w:lang w:val="en-US"/>
        </w:rPr>
        <w:t>et al</w:t>
      </w:r>
      <w:r w:rsidR="00956A0C" w:rsidRPr="00BE005D">
        <w:rPr>
          <w:rFonts w:ascii="Arial" w:hAnsi="Arial" w:cs="Arial"/>
          <w:noProof/>
          <w:sz w:val="22"/>
          <w:szCs w:val="22"/>
          <w:lang w:val="en-US"/>
        </w:rPr>
        <w:t>., 2021)</w:t>
      </w:r>
      <w:r w:rsidRPr="00BE005D">
        <w:rPr>
          <w:rFonts w:ascii="Arial" w:hAnsi="Arial" w:cs="Arial"/>
          <w:noProof/>
          <w:sz w:val="22"/>
          <w:szCs w:val="22"/>
          <w:lang w:val="en-US"/>
        </w:rPr>
        <w:t>.</w:t>
      </w:r>
    </w:p>
    <w:p w14:paraId="2AD7EA81" w14:textId="77777777" w:rsidR="00353C2B" w:rsidRPr="00BE005D" w:rsidRDefault="00353C2B" w:rsidP="00353C2B">
      <w:pPr>
        <w:jc w:val="both"/>
        <w:rPr>
          <w:rFonts w:ascii="Arial" w:hAnsi="Arial" w:cs="Arial"/>
          <w:sz w:val="22"/>
          <w:szCs w:val="22"/>
          <w:lang w:val="en-US"/>
        </w:rPr>
      </w:pPr>
    </w:p>
    <w:p w14:paraId="111C12AD" w14:textId="74697BC2" w:rsidR="00353C2B" w:rsidRPr="00BE005D" w:rsidRDefault="00353C2B" w:rsidP="00353C2B">
      <w:pPr>
        <w:jc w:val="both"/>
        <w:rPr>
          <w:rFonts w:ascii="Arial" w:hAnsi="Arial" w:cs="Arial"/>
          <w:noProof/>
          <w:sz w:val="22"/>
          <w:szCs w:val="22"/>
          <w:lang w:val="en-US"/>
        </w:rPr>
      </w:pPr>
      <w:r w:rsidRPr="00BE005D">
        <w:rPr>
          <w:rFonts w:ascii="Arial" w:hAnsi="Arial" w:cs="Arial"/>
          <w:sz w:val="22"/>
          <w:szCs w:val="22"/>
          <w:lang w:val="en-US"/>
        </w:rPr>
        <w:t>In soil, P concentration usually ranges from 100-3000 mg kg</w:t>
      </w:r>
      <w:r w:rsidRPr="00BE005D">
        <w:rPr>
          <w:rFonts w:ascii="Arial" w:hAnsi="Arial" w:cs="Arial"/>
          <w:sz w:val="22"/>
          <w:szCs w:val="22"/>
          <w:vertAlign w:val="superscript"/>
          <w:lang w:val="en-US"/>
        </w:rPr>
        <w:t xml:space="preserve">-1 </w:t>
      </w:r>
      <w:r w:rsidRPr="00BE005D">
        <w:rPr>
          <w:rFonts w:ascii="Arial" w:hAnsi="Arial" w:cs="Arial"/>
          <w:sz w:val="22"/>
          <w:szCs w:val="22"/>
          <w:lang w:val="en-US"/>
        </w:rPr>
        <w:t>(</w:t>
      </w:r>
      <w:r w:rsidR="00DD0919" w:rsidRPr="00BE005D">
        <w:rPr>
          <w:rFonts w:ascii="Arial" w:hAnsi="Arial" w:cs="Arial"/>
          <w:noProof/>
          <w:sz w:val="22"/>
          <w:szCs w:val="22"/>
          <w:lang w:val="en-US"/>
        </w:rPr>
        <w:t>Sánchez, 2019</w:t>
      </w:r>
      <w:r w:rsidRPr="00BE005D">
        <w:rPr>
          <w:rFonts w:ascii="Arial" w:hAnsi="Arial" w:cs="Arial"/>
          <w:noProof/>
          <w:sz w:val="22"/>
          <w:szCs w:val="22"/>
          <w:lang w:val="en-US"/>
        </w:rPr>
        <w:t>)</w:t>
      </w:r>
      <w:r w:rsidRPr="00BE005D">
        <w:rPr>
          <w:rFonts w:ascii="Arial" w:hAnsi="Arial" w:cs="Arial"/>
          <w:sz w:val="22"/>
          <w:szCs w:val="22"/>
          <w:lang w:val="en-US"/>
        </w:rPr>
        <w:t>; however, only 0</w:t>
      </w:r>
      <w:r w:rsidR="00BB18FE" w:rsidRPr="00BE005D">
        <w:rPr>
          <w:rFonts w:ascii="Arial" w:hAnsi="Arial" w:cs="Arial"/>
          <w:sz w:val="22"/>
          <w:szCs w:val="22"/>
          <w:lang w:val="en-US"/>
        </w:rPr>
        <w:t>,</w:t>
      </w:r>
      <w:r w:rsidRPr="00BE005D">
        <w:rPr>
          <w:rFonts w:ascii="Arial" w:hAnsi="Arial" w:cs="Arial"/>
          <w:sz w:val="22"/>
          <w:szCs w:val="22"/>
          <w:lang w:val="en-US"/>
        </w:rPr>
        <w:t>1% of total P exists in soluble form available to plants (</w:t>
      </w:r>
      <w:proofErr w:type="spellStart"/>
      <w:r w:rsidR="00BB18FE" w:rsidRPr="00BE005D">
        <w:rPr>
          <w:rFonts w:ascii="Arial" w:hAnsi="Arial" w:cs="Arial"/>
          <w:sz w:val="22"/>
          <w:szCs w:val="22"/>
          <w:lang w:val="en-US"/>
        </w:rPr>
        <w:t>Alewell</w:t>
      </w:r>
      <w:proofErr w:type="spellEnd"/>
      <w:r w:rsidR="00BB18FE" w:rsidRPr="00BE005D">
        <w:rPr>
          <w:rFonts w:ascii="Arial" w:hAnsi="Arial" w:cs="Arial"/>
          <w:sz w:val="22"/>
          <w:szCs w:val="22"/>
          <w:lang w:val="en-US"/>
        </w:rPr>
        <w:t xml:space="preserve"> </w:t>
      </w:r>
      <w:r w:rsidR="00BB18FE" w:rsidRPr="00BE005D">
        <w:rPr>
          <w:rFonts w:ascii="Arial" w:hAnsi="Arial" w:cs="Arial"/>
          <w:i/>
          <w:iCs/>
          <w:sz w:val="22"/>
          <w:szCs w:val="22"/>
          <w:lang w:val="en-US"/>
        </w:rPr>
        <w:t>et al</w:t>
      </w:r>
      <w:r w:rsidR="00BB18FE" w:rsidRPr="00BE005D">
        <w:rPr>
          <w:rFonts w:ascii="Arial" w:hAnsi="Arial" w:cs="Arial"/>
          <w:sz w:val="22"/>
          <w:szCs w:val="22"/>
          <w:lang w:val="en-US"/>
        </w:rPr>
        <w:t>., 2020</w:t>
      </w:r>
      <w:r w:rsidRPr="00BE005D">
        <w:rPr>
          <w:rFonts w:ascii="Arial" w:hAnsi="Arial" w:cs="Arial"/>
          <w:sz w:val="22"/>
          <w:szCs w:val="22"/>
          <w:lang w:val="en-US"/>
        </w:rPr>
        <w:t>), making it a limiting factor in their development.</w:t>
      </w:r>
    </w:p>
    <w:p w14:paraId="37CA32B6" w14:textId="77777777" w:rsidR="00353C2B" w:rsidRPr="00BE005D" w:rsidRDefault="00353C2B" w:rsidP="00353C2B">
      <w:pPr>
        <w:jc w:val="both"/>
        <w:rPr>
          <w:rFonts w:ascii="Arial" w:hAnsi="Arial" w:cs="Arial"/>
          <w:sz w:val="22"/>
          <w:szCs w:val="22"/>
          <w:lang w:val="en-US"/>
        </w:rPr>
      </w:pPr>
    </w:p>
    <w:p w14:paraId="7D053E8D" w14:textId="6761B328" w:rsidR="00353C2B" w:rsidRPr="00BE005D" w:rsidRDefault="00353C2B" w:rsidP="00353C2B">
      <w:pPr>
        <w:jc w:val="both"/>
        <w:rPr>
          <w:rFonts w:ascii="Arial" w:hAnsi="Arial" w:cs="Arial"/>
          <w:sz w:val="22"/>
          <w:szCs w:val="22"/>
          <w:lang w:val="en-US"/>
        </w:rPr>
      </w:pPr>
      <w:r w:rsidRPr="00BE005D">
        <w:rPr>
          <w:rFonts w:ascii="Arial" w:hAnsi="Arial" w:cs="Arial"/>
          <w:sz w:val="22"/>
          <w:szCs w:val="22"/>
          <w:lang w:val="en-US"/>
        </w:rPr>
        <w:t>An important part of the P present in agricultural soils derives from chemical fertilization. Approximately 70% of the P coming from the use of agrochemicals is found in the soil as insoluble complexes: calcium phosphate, aluminum phosphate, phosphate ion (</w:t>
      </w:r>
      <w:proofErr w:type="spellStart"/>
      <w:r w:rsidR="00C04C90" w:rsidRPr="00BE005D">
        <w:rPr>
          <w:rFonts w:ascii="Arial" w:hAnsi="Arial" w:cs="Arial"/>
          <w:sz w:val="22"/>
          <w:szCs w:val="22"/>
          <w:lang w:val="en-US"/>
        </w:rPr>
        <w:t>Mitter</w:t>
      </w:r>
      <w:proofErr w:type="spellEnd"/>
      <w:r w:rsidR="00C04C90" w:rsidRPr="00BE005D">
        <w:rPr>
          <w:rFonts w:ascii="Arial" w:hAnsi="Arial" w:cs="Arial"/>
          <w:sz w:val="22"/>
          <w:szCs w:val="22"/>
          <w:lang w:val="en-US"/>
        </w:rPr>
        <w:t xml:space="preserve"> </w:t>
      </w:r>
      <w:r w:rsidR="00C04C90" w:rsidRPr="00BE005D">
        <w:rPr>
          <w:rFonts w:ascii="Arial" w:hAnsi="Arial" w:cs="Arial"/>
          <w:i/>
          <w:iCs/>
          <w:sz w:val="22"/>
          <w:szCs w:val="22"/>
          <w:lang w:val="en-US"/>
        </w:rPr>
        <w:t>et al.</w:t>
      </w:r>
      <w:r w:rsidR="00C04C90" w:rsidRPr="00BE005D">
        <w:rPr>
          <w:rFonts w:ascii="Arial" w:hAnsi="Arial" w:cs="Arial"/>
          <w:sz w:val="22"/>
          <w:szCs w:val="22"/>
          <w:lang w:val="en-US"/>
        </w:rPr>
        <w:t>, 2021)</w:t>
      </w:r>
      <w:r w:rsidRPr="00BE005D">
        <w:rPr>
          <w:rFonts w:ascii="Arial" w:hAnsi="Arial" w:cs="Arial"/>
          <w:sz w:val="22"/>
          <w:szCs w:val="22"/>
          <w:lang w:val="en-US"/>
        </w:rPr>
        <w:t>.</w:t>
      </w:r>
    </w:p>
    <w:p w14:paraId="5B7FB762" w14:textId="77777777" w:rsidR="00353C2B" w:rsidRPr="00BE005D" w:rsidRDefault="00353C2B" w:rsidP="00353C2B">
      <w:pPr>
        <w:jc w:val="both"/>
        <w:rPr>
          <w:rFonts w:ascii="Arial" w:hAnsi="Arial" w:cs="Arial"/>
          <w:sz w:val="22"/>
          <w:szCs w:val="22"/>
          <w:lang w:val="en-US"/>
        </w:rPr>
      </w:pPr>
    </w:p>
    <w:p w14:paraId="4D3DA0E8" w14:textId="00934C79" w:rsidR="00353C2B" w:rsidRPr="00BE005D" w:rsidRDefault="00353C2B" w:rsidP="00353C2B">
      <w:pPr>
        <w:jc w:val="both"/>
        <w:rPr>
          <w:rFonts w:ascii="Arial" w:hAnsi="Arial" w:cs="Arial"/>
          <w:sz w:val="22"/>
          <w:szCs w:val="22"/>
          <w:lang w:val="en-US"/>
        </w:rPr>
      </w:pPr>
      <w:r w:rsidRPr="00BE005D">
        <w:rPr>
          <w:rFonts w:ascii="Arial" w:hAnsi="Arial" w:cs="Arial"/>
          <w:sz w:val="22"/>
          <w:szCs w:val="22"/>
          <w:lang w:val="en-US"/>
        </w:rPr>
        <w:t>P solubilizing microorganisms can solubilize and mineralize P from inorganic and organic sources in the soil (</w:t>
      </w:r>
      <w:r w:rsidR="002D6F01" w:rsidRPr="00BE005D">
        <w:rPr>
          <w:rFonts w:ascii="Arial" w:hAnsi="Arial" w:cs="Arial"/>
          <w:noProof/>
          <w:sz w:val="22"/>
          <w:szCs w:val="22"/>
          <w:lang w:val="en-US"/>
        </w:rPr>
        <w:t xml:space="preserve">Rafi </w:t>
      </w:r>
      <w:r w:rsidR="002D6F01" w:rsidRPr="00BE005D">
        <w:rPr>
          <w:rFonts w:ascii="Arial" w:hAnsi="Arial" w:cs="Arial"/>
          <w:i/>
          <w:iCs/>
          <w:noProof/>
          <w:sz w:val="22"/>
          <w:szCs w:val="22"/>
          <w:lang w:val="en-US"/>
        </w:rPr>
        <w:t>et al</w:t>
      </w:r>
      <w:r w:rsidR="002D6F01" w:rsidRPr="00BE005D">
        <w:rPr>
          <w:rFonts w:ascii="Arial" w:hAnsi="Arial" w:cs="Arial"/>
          <w:noProof/>
          <w:sz w:val="22"/>
          <w:szCs w:val="22"/>
          <w:lang w:val="en-US"/>
        </w:rPr>
        <w:t>., 2019</w:t>
      </w:r>
      <w:r w:rsidRPr="00BE005D">
        <w:rPr>
          <w:rFonts w:ascii="Arial" w:hAnsi="Arial" w:cs="Arial"/>
          <w:noProof/>
          <w:sz w:val="22"/>
          <w:szCs w:val="22"/>
          <w:lang w:val="en-US"/>
        </w:rPr>
        <w:t>)</w:t>
      </w:r>
      <w:r w:rsidRPr="00BE005D">
        <w:rPr>
          <w:rFonts w:ascii="Arial" w:hAnsi="Arial" w:cs="Arial"/>
          <w:sz w:val="22"/>
          <w:szCs w:val="22"/>
          <w:lang w:val="en-US"/>
        </w:rPr>
        <w:t xml:space="preserve"> and can be used as inoculants to increase the bioavailability of this element for plants, enabling the implementation of sustainable agriculture (</w:t>
      </w:r>
      <w:proofErr w:type="spellStart"/>
      <w:r w:rsidRPr="00BE005D">
        <w:rPr>
          <w:rFonts w:ascii="Arial" w:hAnsi="Arial" w:cs="Arial"/>
          <w:sz w:val="22"/>
          <w:szCs w:val="22"/>
          <w:lang w:val="en-US"/>
        </w:rPr>
        <w:t>Billah</w:t>
      </w:r>
      <w:proofErr w:type="spellEnd"/>
      <w:r w:rsidRPr="00BE005D">
        <w:rPr>
          <w:rFonts w:ascii="Arial" w:hAnsi="Arial" w:cs="Arial"/>
          <w:sz w:val="22"/>
          <w:szCs w:val="22"/>
          <w:lang w:val="en-US"/>
        </w:rPr>
        <w:t xml:space="preserve"> </w:t>
      </w:r>
      <w:r w:rsidRPr="00BE005D">
        <w:rPr>
          <w:rFonts w:ascii="Arial" w:hAnsi="Arial" w:cs="Arial"/>
          <w:i/>
          <w:iCs/>
          <w:sz w:val="22"/>
          <w:szCs w:val="22"/>
          <w:lang w:val="en-US"/>
        </w:rPr>
        <w:t>et al</w:t>
      </w:r>
      <w:r w:rsidRPr="00BE005D">
        <w:rPr>
          <w:rFonts w:ascii="Arial" w:hAnsi="Arial" w:cs="Arial"/>
          <w:sz w:val="22"/>
          <w:szCs w:val="22"/>
          <w:lang w:val="en-US"/>
        </w:rPr>
        <w:t>.</w:t>
      </w:r>
      <w:r w:rsidR="00D17F93" w:rsidRPr="00BE005D">
        <w:rPr>
          <w:rFonts w:ascii="Arial" w:hAnsi="Arial" w:cs="Arial"/>
          <w:sz w:val="22"/>
          <w:szCs w:val="22"/>
          <w:lang w:val="en-US"/>
        </w:rPr>
        <w:t>,</w:t>
      </w:r>
      <w:r w:rsidRPr="00BE005D">
        <w:rPr>
          <w:rFonts w:ascii="Arial" w:hAnsi="Arial" w:cs="Arial"/>
          <w:sz w:val="22"/>
          <w:szCs w:val="22"/>
          <w:lang w:val="en-US"/>
        </w:rPr>
        <w:t xml:space="preserve"> 2019). The mechanisms involved in microbial solubilization of the different forms of insoluble phosphate include processes of acidification, chelation, exchange reactions, production of organic acids and enzymatic action (</w:t>
      </w:r>
      <w:proofErr w:type="spellStart"/>
      <w:r w:rsidR="007851C4" w:rsidRPr="00BE005D">
        <w:rPr>
          <w:rFonts w:ascii="Arial" w:hAnsi="Arial" w:cs="Arial"/>
          <w:noProof/>
          <w:sz w:val="22"/>
          <w:szCs w:val="22"/>
          <w:lang w:val="en-US"/>
        </w:rPr>
        <w:t>Kafle</w:t>
      </w:r>
      <w:proofErr w:type="spellEnd"/>
      <w:r w:rsidR="007851C4" w:rsidRPr="00BE005D">
        <w:rPr>
          <w:rFonts w:ascii="Arial" w:hAnsi="Arial" w:cs="Arial"/>
          <w:noProof/>
          <w:sz w:val="22"/>
          <w:szCs w:val="22"/>
          <w:lang w:val="en-US"/>
        </w:rPr>
        <w:t xml:space="preserve"> </w:t>
      </w:r>
      <w:r w:rsidR="007851C4" w:rsidRPr="00BE005D">
        <w:rPr>
          <w:rFonts w:ascii="Arial" w:hAnsi="Arial" w:cs="Arial"/>
          <w:i/>
          <w:iCs/>
          <w:noProof/>
          <w:sz w:val="22"/>
          <w:szCs w:val="22"/>
          <w:lang w:val="en-US"/>
        </w:rPr>
        <w:t>et al</w:t>
      </w:r>
      <w:r w:rsidR="007851C4" w:rsidRPr="00BE005D">
        <w:rPr>
          <w:rFonts w:ascii="Arial" w:hAnsi="Arial" w:cs="Arial"/>
          <w:noProof/>
          <w:sz w:val="22"/>
          <w:szCs w:val="22"/>
          <w:lang w:val="en-US"/>
        </w:rPr>
        <w:t>., 2019</w:t>
      </w:r>
      <w:r w:rsidRPr="00BE005D">
        <w:rPr>
          <w:rFonts w:ascii="Arial" w:hAnsi="Arial" w:cs="Arial"/>
          <w:noProof/>
          <w:sz w:val="22"/>
          <w:szCs w:val="22"/>
          <w:lang w:val="en-US"/>
        </w:rPr>
        <w:t>)</w:t>
      </w:r>
      <w:r w:rsidRPr="00BE005D">
        <w:rPr>
          <w:rFonts w:ascii="Arial" w:hAnsi="Arial" w:cs="Arial"/>
          <w:sz w:val="22"/>
          <w:szCs w:val="22"/>
          <w:lang w:val="en-US"/>
        </w:rPr>
        <w:t>.</w:t>
      </w:r>
    </w:p>
    <w:p w14:paraId="4E85FF22" w14:textId="77777777" w:rsidR="00353C2B" w:rsidRPr="00BE005D" w:rsidRDefault="00353C2B" w:rsidP="00353C2B">
      <w:pPr>
        <w:jc w:val="both"/>
        <w:rPr>
          <w:rFonts w:ascii="Arial" w:hAnsi="Arial" w:cs="Arial"/>
          <w:i/>
          <w:sz w:val="22"/>
          <w:szCs w:val="22"/>
          <w:lang w:val="en-US"/>
        </w:rPr>
      </w:pPr>
    </w:p>
    <w:p w14:paraId="5052BD85" w14:textId="52ADA6D1" w:rsidR="00353C2B" w:rsidRPr="00BE005D" w:rsidRDefault="00353C2B" w:rsidP="00353C2B">
      <w:pPr>
        <w:jc w:val="both"/>
        <w:rPr>
          <w:rFonts w:ascii="Arial" w:hAnsi="Arial" w:cs="Arial"/>
          <w:sz w:val="22"/>
          <w:szCs w:val="22"/>
          <w:lang w:val="en-US"/>
        </w:rPr>
      </w:pPr>
      <w:r w:rsidRPr="00BE005D">
        <w:rPr>
          <w:rFonts w:ascii="Arial" w:hAnsi="Arial" w:cs="Arial"/>
          <w:i/>
          <w:sz w:val="22"/>
          <w:szCs w:val="22"/>
          <w:lang w:val="en-US"/>
        </w:rPr>
        <w:t>Gluconacetobacter diazotrophicus</w:t>
      </w:r>
      <w:r w:rsidRPr="00BE005D">
        <w:rPr>
          <w:rFonts w:ascii="Arial" w:hAnsi="Arial" w:cs="Arial"/>
          <w:sz w:val="22"/>
          <w:szCs w:val="22"/>
          <w:lang w:val="en-US"/>
        </w:rPr>
        <w:t xml:space="preserve"> is an endophytic bacterium with the ability to promote growth in different crops of economic importance (</w:t>
      </w:r>
      <w:r w:rsidR="008C02FE" w:rsidRPr="00BE005D">
        <w:rPr>
          <w:rFonts w:ascii="Arial" w:hAnsi="Arial" w:cs="Arial"/>
          <w:sz w:val="22"/>
          <w:szCs w:val="22"/>
          <w:lang w:val="en-US"/>
        </w:rPr>
        <w:t xml:space="preserve">Tufail </w:t>
      </w:r>
      <w:r w:rsidR="008C02FE" w:rsidRPr="00BE005D">
        <w:rPr>
          <w:rFonts w:ascii="Arial" w:hAnsi="Arial" w:cs="Arial"/>
          <w:i/>
          <w:iCs/>
          <w:sz w:val="22"/>
          <w:szCs w:val="22"/>
          <w:lang w:val="en-US"/>
        </w:rPr>
        <w:t>et al.</w:t>
      </w:r>
      <w:r w:rsidR="008C02FE" w:rsidRPr="00BE005D">
        <w:rPr>
          <w:rFonts w:ascii="Arial" w:hAnsi="Arial" w:cs="Arial"/>
          <w:sz w:val="22"/>
          <w:szCs w:val="22"/>
          <w:lang w:val="en-US"/>
        </w:rPr>
        <w:t>, 2021</w:t>
      </w:r>
      <w:r w:rsidRPr="00BE005D">
        <w:rPr>
          <w:rFonts w:ascii="Arial" w:hAnsi="Arial" w:cs="Arial"/>
          <w:sz w:val="22"/>
          <w:szCs w:val="22"/>
          <w:lang w:val="en-US"/>
        </w:rPr>
        <w:t xml:space="preserve">). Cavalcante and </w:t>
      </w:r>
      <w:proofErr w:type="spellStart"/>
      <w:r w:rsidRPr="00BE005D">
        <w:rPr>
          <w:rFonts w:ascii="Arial" w:hAnsi="Arial" w:cs="Arial"/>
          <w:sz w:val="22"/>
          <w:szCs w:val="22"/>
          <w:lang w:val="en-US"/>
        </w:rPr>
        <w:t>Döbereiner</w:t>
      </w:r>
      <w:proofErr w:type="spellEnd"/>
      <w:r w:rsidRPr="00BE005D">
        <w:rPr>
          <w:rFonts w:ascii="Arial" w:hAnsi="Arial" w:cs="Arial"/>
          <w:sz w:val="22"/>
          <w:szCs w:val="22"/>
          <w:lang w:val="en-US"/>
        </w:rPr>
        <w:t xml:space="preserve"> (1988) first isolated it and showed that it could fix atmospheric nitrogen in a non-associative form and, since then, there are numerous reports supporting its role in the supply of nitrogen to plants. Other studies have reported that </w:t>
      </w:r>
      <w:r w:rsidRPr="00BE005D">
        <w:rPr>
          <w:rFonts w:ascii="Arial" w:hAnsi="Arial" w:cs="Arial"/>
          <w:i/>
          <w:sz w:val="22"/>
          <w:szCs w:val="22"/>
          <w:lang w:val="en-US"/>
        </w:rPr>
        <w:t>G. diazotrophicus</w:t>
      </w:r>
      <w:r w:rsidRPr="00BE005D">
        <w:rPr>
          <w:rFonts w:ascii="Arial" w:hAnsi="Arial" w:cs="Arial"/>
          <w:sz w:val="22"/>
          <w:szCs w:val="22"/>
          <w:lang w:val="en-US"/>
        </w:rPr>
        <w:t xml:space="preserve"> can promote plant growth by other mechanisms of action, among which are the production of phytohormones (</w:t>
      </w:r>
      <w:proofErr w:type="spellStart"/>
      <w:r w:rsidR="006718E7" w:rsidRPr="00BE005D">
        <w:rPr>
          <w:rFonts w:ascii="Arial" w:hAnsi="Arial" w:cs="Arial"/>
          <w:noProof/>
          <w:sz w:val="22"/>
          <w:szCs w:val="22"/>
          <w:lang w:val="en-US"/>
        </w:rPr>
        <w:t>Kudoyarova</w:t>
      </w:r>
      <w:proofErr w:type="spellEnd"/>
      <w:r w:rsidR="006718E7" w:rsidRPr="00BE005D">
        <w:rPr>
          <w:rFonts w:ascii="Arial" w:hAnsi="Arial" w:cs="Arial"/>
          <w:noProof/>
          <w:sz w:val="22"/>
          <w:szCs w:val="22"/>
          <w:lang w:val="en-US"/>
        </w:rPr>
        <w:t xml:space="preserve"> </w:t>
      </w:r>
      <w:r w:rsidR="006718E7" w:rsidRPr="00BE005D">
        <w:rPr>
          <w:rFonts w:ascii="Arial" w:hAnsi="Arial" w:cs="Arial"/>
          <w:i/>
          <w:iCs/>
          <w:noProof/>
          <w:sz w:val="22"/>
          <w:szCs w:val="22"/>
          <w:lang w:val="en-US"/>
        </w:rPr>
        <w:t>et al</w:t>
      </w:r>
      <w:r w:rsidR="006718E7" w:rsidRPr="00BE005D">
        <w:rPr>
          <w:rFonts w:ascii="Arial" w:hAnsi="Arial" w:cs="Arial"/>
          <w:noProof/>
          <w:sz w:val="22"/>
          <w:szCs w:val="22"/>
          <w:lang w:val="en-US"/>
        </w:rPr>
        <w:t>., 2019</w:t>
      </w:r>
      <w:r w:rsidRPr="00BE005D">
        <w:rPr>
          <w:rFonts w:ascii="Arial" w:hAnsi="Arial" w:cs="Arial"/>
          <w:sz w:val="22"/>
          <w:szCs w:val="22"/>
          <w:lang w:val="en-US"/>
        </w:rPr>
        <w:t>), antagonism against pathogens (</w:t>
      </w:r>
      <w:r w:rsidR="003148D1" w:rsidRPr="00BE005D">
        <w:rPr>
          <w:rFonts w:ascii="Arial" w:hAnsi="Arial" w:cs="Arial"/>
          <w:noProof/>
          <w:sz w:val="22"/>
          <w:szCs w:val="22"/>
          <w:lang w:val="en-US"/>
        </w:rPr>
        <w:t xml:space="preserve">Rodriguez </w:t>
      </w:r>
      <w:r w:rsidR="003148D1" w:rsidRPr="00BE005D">
        <w:rPr>
          <w:rFonts w:ascii="Arial" w:hAnsi="Arial" w:cs="Arial"/>
          <w:i/>
          <w:iCs/>
          <w:noProof/>
          <w:sz w:val="22"/>
          <w:szCs w:val="22"/>
          <w:lang w:val="en-US"/>
        </w:rPr>
        <w:t>et al.</w:t>
      </w:r>
      <w:r w:rsidR="003148D1" w:rsidRPr="00BE005D">
        <w:rPr>
          <w:rFonts w:ascii="Arial" w:hAnsi="Arial" w:cs="Arial"/>
          <w:noProof/>
          <w:sz w:val="22"/>
          <w:szCs w:val="22"/>
          <w:lang w:val="en-US"/>
        </w:rPr>
        <w:t>, 2019</w:t>
      </w:r>
      <w:r w:rsidRPr="00BE005D">
        <w:rPr>
          <w:rFonts w:ascii="Arial" w:hAnsi="Arial" w:cs="Arial"/>
          <w:sz w:val="22"/>
          <w:szCs w:val="22"/>
          <w:lang w:val="en-US"/>
        </w:rPr>
        <w:t>) and solubilization of minerals such as zinc and P (</w:t>
      </w:r>
      <w:r w:rsidR="0086020F" w:rsidRPr="00BE005D">
        <w:rPr>
          <w:rFonts w:ascii="Arial" w:hAnsi="Arial" w:cs="Arial"/>
          <w:sz w:val="22"/>
          <w:szCs w:val="22"/>
          <w:lang w:val="en-US"/>
        </w:rPr>
        <w:t xml:space="preserve">Paredes-Villanueva </w:t>
      </w:r>
      <w:r w:rsidR="0086020F" w:rsidRPr="00BE005D">
        <w:rPr>
          <w:rFonts w:ascii="Arial" w:hAnsi="Arial" w:cs="Arial"/>
          <w:i/>
          <w:iCs/>
          <w:sz w:val="22"/>
          <w:szCs w:val="22"/>
          <w:lang w:val="en-US"/>
        </w:rPr>
        <w:t>et al</w:t>
      </w:r>
      <w:r w:rsidR="0086020F" w:rsidRPr="00BE005D">
        <w:rPr>
          <w:rFonts w:ascii="Arial" w:hAnsi="Arial" w:cs="Arial"/>
          <w:sz w:val="22"/>
          <w:szCs w:val="22"/>
          <w:lang w:val="en-US"/>
        </w:rPr>
        <w:t>., 2020</w:t>
      </w:r>
      <w:r w:rsidRPr="00BE005D">
        <w:rPr>
          <w:rFonts w:ascii="Arial" w:hAnsi="Arial" w:cs="Arial"/>
          <w:sz w:val="22"/>
          <w:szCs w:val="22"/>
          <w:lang w:val="en-US"/>
        </w:rPr>
        <w:t>).</w:t>
      </w:r>
    </w:p>
    <w:p w14:paraId="72CECA02" w14:textId="77777777" w:rsidR="00353C2B" w:rsidRPr="00BE005D" w:rsidRDefault="00353C2B" w:rsidP="00353C2B">
      <w:pPr>
        <w:jc w:val="both"/>
        <w:rPr>
          <w:rFonts w:ascii="Arial" w:hAnsi="Arial" w:cs="Arial"/>
          <w:sz w:val="22"/>
          <w:szCs w:val="22"/>
          <w:lang w:val="en-US"/>
        </w:rPr>
      </w:pPr>
    </w:p>
    <w:p w14:paraId="113D7DF9" w14:textId="5CA24234" w:rsidR="00353C2B" w:rsidRPr="00BE005D" w:rsidRDefault="00353C2B" w:rsidP="00353C2B">
      <w:pPr>
        <w:jc w:val="both"/>
        <w:rPr>
          <w:rFonts w:ascii="Arial" w:hAnsi="Arial" w:cs="Arial"/>
          <w:sz w:val="22"/>
          <w:szCs w:val="22"/>
          <w:lang w:val="en-US"/>
        </w:rPr>
      </w:pPr>
      <w:r w:rsidRPr="00BE005D">
        <w:rPr>
          <w:rFonts w:ascii="Arial" w:hAnsi="Arial" w:cs="Arial"/>
          <w:sz w:val="22"/>
          <w:szCs w:val="22"/>
          <w:lang w:val="en-US"/>
        </w:rPr>
        <w:t xml:space="preserve">With regard to microbial solubilization of phosphates, </w:t>
      </w:r>
      <w:r w:rsidR="00ED553F" w:rsidRPr="00BE005D">
        <w:rPr>
          <w:rFonts w:ascii="Arial" w:hAnsi="Arial" w:cs="Arial"/>
          <w:sz w:val="22"/>
          <w:szCs w:val="22"/>
          <w:lang w:val="en-US"/>
        </w:rPr>
        <w:t>t</w:t>
      </w:r>
      <w:r w:rsidRPr="00BE005D">
        <w:rPr>
          <w:rFonts w:ascii="Arial" w:hAnsi="Arial" w:cs="Arial"/>
          <w:sz w:val="22"/>
          <w:szCs w:val="22"/>
          <w:lang w:val="en-US"/>
        </w:rPr>
        <w:t xml:space="preserve">here are numerous reports showing the activity of solubilizing microorganisms </w:t>
      </w:r>
      <w:r w:rsidRPr="00BE005D">
        <w:rPr>
          <w:rFonts w:ascii="Arial" w:hAnsi="Arial" w:cs="Arial"/>
          <w:i/>
          <w:sz w:val="22"/>
          <w:szCs w:val="22"/>
          <w:lang w:val="en-US"/>
        </w:rPr>
        <w:t>in vitro</w:t>
      </w:r>
      <w:r w:rsidRPr="00BE005D">
        <w:rPr>
          <w:rFonts w:ascii="Arial" w:hAnsi="Arial" w:cs="Arial"/>
          <w:sz w:val="22"/>
          <w:szCs w:val="22"/>
          <w:lang w:val="en-US"/>
        </w:rPr>
        <w:t xml:space="preserve"> and, in almost all of such works, solubilization of tricalcium phosphate (TCP) in solid NBRIP medium or </w:t>
      </w:r>
      <w:proofErr w:type="spellStart"/>
      <w:r w:rsidRPr="00BE005D">
        <w:rPr>
          <w:rFonts w:ascii="Arial" w:hAnsi="Arial" w:cs="Arial"/>
          <w:sz w:val="22"/>
          <w:szCs w:val="22"/>
          <w:lang w:val="en-US"/>
        </w:rPr>
        <w:t>Pikovskaya</w:t>
      </w:r>
      <w:proofErr w:type="spellEnd"/>
      <w:r w:rsidRPr="00BE005D">
        <w:rPr>
          <w:rFonts w:ascii="Arial" w:hAnsi="Arial" w:cs="Arial"/>
          <w:sz w:val="22"/>
          <w:szCs w:val="22"/>
          <w:lang w:val="en-US"/>
        </w:rPr>
        <w:t xml:space="preserve"> (</w:t>
      </w:r>
      <w:r w:rsidR="00ED553F" w:rsidRPr="00BE005D">
        <w:rPr>
          <w:rFonts w:ascii="Arial" w:hAnsi="Arial" w:cs="Arial"/>
          <w:noProof/>
          <w:sz w:val="22"/>
          <w:szCs w:val="22"/>
          <w:lang w:val="en-US"/>
        </w:rPr>
        <w:t xml:space="preserve">Li </w:t>
      </w:r>
      <w:r w:rsidR="00ED553F" w:rsidRPr="00BE005D">
        <w:rPr>
          <w:rFonts w:ascii="Arial" w:hAnsi="Arial" w:cs="Arial"/>
          <w:i/>
          <w:iCs/>
          <w:noProof/>
          <w:sz w:val="22"/>
          <w:szCs w:val="22"/>
          <w:lang w:val="en-US"/>
        </w:rPr>
        <w:t>et al.</w:t>
      </w:r>
      <w:r w:rsidR="00ED553F" w:rsidRPr="00BE005D">
        <w:rPr>
          <w:rFonts w:ascii="Arial" w:hAnsi="Arial" w:cs="Arial"/>
          <w:noProof/>
          <w:sz w:val="22"/>
          <w:szCs w:val="22"/>
          <w:lang w:val="en-US"/>
        </w:rPr>
        <w:t>, 2019</w:t>
      </w:r>
      <w:r w:rsidRPr="00BE005D">
        <w:rPr>
          <w:rFonts w:ascii="Arial" w:hAnsi="Arial" w:cs="Arial"/>
          <w:sz w:val="22"/>
          <w:szCs w:val="22"/>
          <w:lang w:val="en-US"/>
        </w:rPr>
        <w:t xml:space="preserve">) is used as a selection criterion. However, it has been observed that the strains selected under this single criterion, when tested in assays in plants, do not exhibit good activity. It is therefore necessary to use different methodologies for the selection of microorganisms, including the use of different sources of phosphate and conducting </w:t>
      </w:r>
      <w:r w:rsidRPr="00BE005D">
        <w:rPr>
          <w:rFonts w:ascii="Arial" w:hAnsi="Arial" w:cs="Arial"/>
          <w:i/>
          <w:sz w:val="22"/>
          <w:szCs w:val="22"/>
          <w:lang w:val="en-US"/>
        </w:rPr>
        <w:t>in vivo</w:t>
      </w:r>
      <w:r w:rsidRPr="00BE005D">
        <w:rPr>
          <w:rFonts w:ascii="Arial" w:hAnsi="Arial" w:cs="Arial"/>
          <w:sz w:val="22"/>
          <w:szCs w:val="22"/>
          <w:lang w:val="en-US"/>
        </w:rPr>
        <w:t xml:space="preserve"> assays.</w:t>
      </w:r>
    </w:p>
    <w:p w14:paraId="6DF11073" w14:textId="77777777" w:rsidR="00353C2B" w:rsidRPr="00BE005D" w:rsidRDefault="00353C2B" w:rsidP="00353C2B">
      <w:pPr>
        <w:jc w:val="both"/>
        <w:rPr>
          <w:rFonts w:ascii="Arial" w:hAnsi="Arial" w:cs="Arial"/>
          <w:sz w:val="22"/>
          <w:szCs w:val="22"/>
          <w:lang w:val="en-US"/>
        </w:rPr>
      </w:pPr>
    </w:p>
    <w:p w14:paraId="7F166716" w14:textId="0228AFE8" w:rsidR="00353C2B" w:rsidRPr="00BE005D" w:rsidRDefault="00353C2B" w:rsidP="00353C2B">
      <w:pPr>
        <w:jc w:val="both"/>
        <w:rPr>
          <w:rFonts w:ascii="Arial" w:hAnsi="Arial" w:cs="Arial"/>
          <w:sz w:val="22"/>
          <w:szCs w:val="22"/>
          <w:lang w:val="en-US"/>
        </w:rPr>
      </w:pPr>
      <w:r w:rsidRPr="00BE005D">
        <w:rPr>
          <w:rFonts w:ascii="Arial" w:hAnsi="Arial" w:cs="Arial"/>
          <w:sz w:val="22"/>
          <w:szCs w:val="22"/>
          <w:lang w:val="en-US"/>
        </w:rPr>
        <w:t xml:space="preserve">This work aims to characterize indigenous isolates of </w:t>
      </w:r>
      <w:r w:rsidRPr="00BE005D">
        <w:rPr>
          <w:rFonts w:ascii="Arial" w:hAnsi="Arial" w:cs="Arial"/>
          <w:i/>
          <w:sz w:val="22"/>
          <w:szCs w:val="22"/>
          <w:lang w:val="en-US"/>
        </w:rPr>
        <w:t>Gluconacetobacter diazotrophicus</w:t>
      </w:r>
      <w:r w:rsidRPr="00BE005D">
        <w:rPr>
          <w:rFonts w:ascii="Arial" w:hAnsi="Arial" w:cs="Arial"/>
          <w:sz w:val="22"/>
          <w:szCs w:val="22"/>
          <w:lang w:val="en-US"/>
        </w:rPr>
        <w:t xml:space="preserve"> regarding solubilization capacity of different sources of P in </w:t>
      </w:r>
      <w:r w:rsidRPr="00BE005D">
        <w:rPr>
          <w:rFonts w:ascii="Arial" w:hAnsi="Arial" w:cs="Arial"/>
          <w:i/>
          <w:sz w:val="22"/>
          <w:szCs w:val="22"/>
          <w:lang w:val="en-US"/>
        </w:rPr>
        <w:t xml:space="preserve">S. </w:t>
      </w:r>
      <w:proofErr w:type="spellStart"/>
      <w:r w:rsidRPr="00BE005D">
        <w:rPr>
          <w:rFonts w:ascii="Arial" w:hAnsi="Arial" w:cs="Arial"/>
          <w:i/>
          <w:sz w:val="22"/>
          <w:szCs w:val="22"/>
          <w:lang w:val="en-US"/>
        </w:rPr>
        <w:t>lycopersicum</w:t>
      </w:r>
      <w:proofErr w:type="spellEnd"/>
      <w:r w:rsidRPr="00BE005D">
        <w:rPr>
          <w:rFonts w:ascii="Arial" w:hAnsi="Arial" w:cs="Arial"/>
          <w:sz w:val="22"/>
          <w:szCs w:val="22"/>
          <w:lang w:val="en-US"/>
        </w:rPr>
        <w:t xml:space="preserve"> seedlings.</w:t>
      </w:r>
    </w:p>
    <w:p w14:paraId="676A0BD9" w14:textId="77777777" w:rsidR="00F13D75" w:rsidRPr="00BE005D" w:rsidRDefault="00F13D75">
      <w:pPr>
        <w:jc w:val="both"/>
        <w:rPr>
          <w:rFonts w:ascii="Arial" w:eastAsia="Arial" w:hAnsi="Arial" w:cs="Arial"/>
          <w:sz w:val="22"/>
          <w:szCs w:val="22"/>
        </w:rPr>
      </w:pPr>
    </w:p>
    <w:p w14:paraId="6A557DF6" w14:textId="77777777" w:rsidR="00F13D75" w:rsidRPr="00BE005D" w:rsidRDefault="00012F9F">
      <w:pPr>
        <w:rPr>
          <w:rFonts w:ascii="Arial" w:eastAsia="Arial" w:hAnsi="Arial" w:cs="Arial"/>
          <w:b/>
          <w:sz w:val="22"/>
          <w:szCs w:val="22"/>
        </w:rPr>
      </w:pPr>
      <w:r w:rsidRPr="00BE005D">
        <w:rPr>
          <w:rFonts w:ascii="Arial" w:eastAsia="Arial" w:hAnsi="Arial" w:cs="Arial"/>
          <w:b/>
          <w:sz w:val="22"/>
          <w:szCs w:val="22"/>
        </w:rPr>
        <w:t>METHOD</w:t>
      </w:r>
    </w:p>
    <w:p w14:paraId="6CCE496A" w14:textId="7BF8158C" w:rsidR="00F13D75" w:rsidRPr="00BE005D" w:rsidRDefault="00F13D75">
      <w:pPr>
        <w:rPr>
          <w:rFonts w:ascii="Arial" w:eastAsia="Arial" w:hAnsi="Arial" w:cs="Arial"/>
          <w:b/>
          <w:sz w:val="22"/>
          <w:szCs w:val="22"/>
        </w:rPr>
      </w:pPr>
    </w:p>
    <w:p w14:paraId="0A45EDD4" w14:textId="63F56DD2" w:rsidR="001F7302" w:rsidRPr="00BE005D" w:rsidRDefault="001F7302" w:rsidP="001F7302">
      <w:pPr>
        <w:jc w:val="both"/>
        <w:rPr>
          <w:rFonts w:ascii="Arial" w:eastAsia="Arial" w:hAnsi="Arial" w:cs="Arial"/>
          <w:sz w:val="22"/>
          <w:szCs w:val="22"/>
          <w:lang w:val="en-US"/>
        </w:rPr>
      </w:pPr>
      <w:r w:rsidRPr="00BE005D">
        <w:rPr>
          <w:rFonts w:ascii="Arial" w:eastAsia="Arial" w:hAnsi="Arial" w:cs="Arial"/>
          <w:sz w:val="22"/>
          <w:szCs w:val="22"/>
          <w:lang w:val="en-US"/>
        </w:rPr>
        <w:t xml:space="preserve">This study was carried out in the laboratories of the Institute for Research in Microbiology and </w:t>
      </w:r>
      <w:proofErr w:type="spellStart"/>
      <w:r w:rsidRPr="00BE005D">
        <w:rPr>
          <w:rFonts w:ascii="Arial" w:eastAsia="Arial" w:hAnsi="Arial" w:cs="Arial"/>
          <w:sz w:val="22"/>
          <w:szCs w:val="22"/>
          <w:lang w:val="en-US"/>
        </w:rPr>
        <w:t>Agroindustrial</w:t>
      </w:r>
      <w:proofErr w:type="spellEnd"/>
      <w:r w:rsidRPr="00BE005D">
        <w:rPr>
          <w:rFonts w:ascii="Arial" w:eastAsia="Arial" w:hAnsi="Arial" w:cs="Arial"/>
          <w:sz w:val="22"/>
          <w:szCs w:val="22"/>
          <w:lang w:val="en-US"/>
        </w:rPr>
        <w:t xml:space="preserve"> Biotechnology of the Catholic University of Manizales and in the </w:t>
      </w:r>
      <w:proofErr w:type="spellStart"/>
      <w:r w:rsidRPr="00BE005D">
        <w:rPr>
          <w:rFonts w:ascii="Arial" w:eastAsia="Arial" w:hAnsi="Arial" w:cs="Arial"/>
          <w:sz w:val="22"/>
          <w:szCs w:val="22"/>
          <w:lang w:val="en-US"/>
        </w:rPr>
        <w:t>Tesorito</w:t>
      </w:r>
      <w:proofErr w:type="spellEnd"/>
      <w:r w:rsidRPr="00BE005D">
        <w:rPr>
          <w:rFonts w:ascii="Arial" w:eastAsia="Arial" w:hAnsi="Arial" w:cs="Arial"/>
          <w:sz w:val="22"/>
          <w:szCs w:val="22"/>
          <w:lang w:val="en-US"/>
        </w:rPr>
        <w:t xml:space="preserve"> Farm of the University of Caldas (Manizales, Colombia), located in the rural area of Manizales (Colombia) at an altitude of 2</w:t>
      </w:r>
      <w:r w:rsidR="002A328A" w:rsidRPr="00BE005D">
        <w:rPr>
          <w:rFonts w:ascii="Arial" w:eastAsia="Arial" w:hAnsi="Arial" w:cs="Arial"/>
          <w:sz w:val="22"/>
          <w:szCs w:val="22"/>
          <w:lang w:val="en-US"/>
        </w:rPr>
        <w:t>.</w:t>
      </w:r>
      <w:r w:rsidRPr="00BE005D">
        <w:rPr>
          <w:rFonts w:ascii="Arial" w:eastAsia="Arial" w:hAnsi="Arial" w:cs="Arial"/>
          <w:sz w:val="22"/>
          <w:szCs w:val="22"/>
          <w:lang w:val="en-US"/>
        </w:rPr>
        <w:t xml:space="preserve">340 </w:t>
      </w:r>
      <w:proofErr w:type="spellStart"/>
      <w:r w:rsidRPr="00BE005D">
        <w:rPr>
          <w:rFonts w:ascii="Arial" w:eastAsia="Arial" w:hAnsi="Arial" w:cs="Arial"/>
          <w:sz w:val="22"/>
          <w:szCs w:val="22"/>
          <w:lang w:val="en-US"/>
        </w:rPr>
        <w:t>masl</w:t>
      </w:r>
      <w:proofErr w:type="spellEnd"/>
      <w:r w:rsidRPr="00BE005D">
        <w:rPr>
          <w:rFonts w:ascii="Arial" w:eastAsia="Arial" w:hAnsi="Arial" w:cs="Arial"/>
          <w:sz w:val="22"/>
          <w:szCs w:val="22"/>
          <w:lang w:val="en-US"/>
        </w:rPr>
        <w:t xml:space="preserve"> (5° 01' 49" N y -75° 26' 13" W), with annual rainfall of 1</w:t>
      </w:r>
      <w:r w:rsidR="00C16856" w:rsidRPr="00BE005D">
        <w:rPr>
          <w:rFonts w:ascii="Arial" w:eastAsia="Arial" w:hAnsi="Arial" w:cs="Arial"/>
          <w:sz w:val="22"/>
          <w:szCs w:val="22"/>
          <w:lang w:val="en-US"/>
        </w:rPr>
        <w:t>.</w:t>
      </w:r>
      <w:r w:rsidRPr="00BE005D">
        <w:rPr>
          <w:rFonts w:ascii="Arial" w:eastAsia="Arial" w:hAnsi="Arial" w:cs="Arial"/>
          <w:sz w:val="22"/>
          <w:szCs w:val="22"/>
          <w:lang w:val="en-US"/>
        </w:rPr>
        <w:t>800 mm, relative humidity of 78%, solar brightness of 1,215 h-light per year, average temperature of 17</w:t>
      </w:r>
      <w:r w:rsidR="00EB0ED4" w:rsidRPr="00BE005D">
        <w:rPr>
          <w:rFonts w:ascii="Arial" w:eastAsia="Arial" w:hAnsi="Arial" w:cs="Arial"/>
          <w:sz w:val="22"/>
          <w:szCs w:val="22"/>
          <w:lang w:val="en-US"/>
        </w:rPr>
        <w:t>,</w:t>
      </w:r>
      <w:r w:rsidRPr="00BE005D">
        <w:rPr>
          <w:rFonts w:ascii="Arial" w:eastAsia="Arial" w:hAnsi="Arial" w:cs="Arial"/>
          <w:sz w:val="22"/>
          <w:szCs w:val="22"/>
          <w:lang w:val="en-US"/>
        </w:rPr>
        <w:t>5 °C and type of sandy loam soil (Universi</w:t>
      </w:r>
      <w:r w:rsidR="00FB192C" w:rsidRPr="00BE005D">
        <w:rPr>
          <w:rFonts w:ascii="Arial" w:eastAsia="Arial" w:hAnsi="Arial" w:cs="Arial"/>
          <w:sz w:val="22"/>
          <w:szCs w:val="22"/>
          <w:lang w:val="en-US"/>
        </w:rPr>
        <w:t>dad de</w:t>
      </w:r>
      <w:r w:rsidRPr="00BE005D">
        <w:rPr>
          <w:rFonts w:ascii="Arial" w:eastAsia="Arial" w:hAnsi="Arial" w:cs="Arial"/>
          <w:sz w:val="22"/>
          <w:szCs w:val="22"/>
          <w:lang w:val="en-US"/>
        </w:rPr>
        <w:t xml:space="preserve"> Caldas, 2014).</w:t>
      </w:r>
    </w:p>
    <w:p w14:paraId="41302BAA" w14:textId="77777777" w:rsidR="00E041F5" w:rsidRPr="00BE005D" w:rsidRDefault="00E041F5" w:rsidP="00E041F5">
      <w:pPr>
        <w:jc w:val="both"/>
        <w:outlineLvl w:val="0"/>
        <w:rPr>
          <w:rFonts w:ascii="Arial" w:eastAsia="Arial" w:hAnsi="Arial" w:cs="Arial"/>
          <w:sz w:val="22"/>
          <w:szCs w:val="22"/>
          <w:lang w:val="en-US"/>
        </w:rPr>
      </w:pPr>
    </w:p>
    <w:p w14:paraId="65D6E191" w14:textId="5AA68459" w:rsidR="00E041F5" w:rsidRPr="00BE005D" w:rsidRDefault="00E041F5" w:rsidP="00E041F5">
      <w:pPr>
        <w:jc w:val="both"/>
        <w:outlineLvl w:val="0"/>
        <w:rPr>
          <w:rFonts w:ascii="Arial" w:hAnsi="Arial" w:cs="Arial"/>
          <w:bCs/>
          <w:sz w:val="22"/>
          <w:szCs w:val="22"/>
          <w:lang w:val="en-US"/>
        </w:rPr>
      </w:pPr>
      <w:r w:rsidRPr="00BE005D">
        <w:rPr>
          <w:rFonts w:ascii="Arial" w:hAnsi="Arial" w:cs="Arial"/>
          <w:b/>
          <w:sz w:val="22"/>
          <w:szCs w:val="22"/>
          <w:lang w:val="en-US"/>
        </w:rPr>
        <w:t>Microbial cultures</w:t>
      </w:r>
    </w:p>
    <w:p w14:paraId="7F986392" w14:textId="77777777" w:rsidR="00E041F5" w:rsidRPr="00BE005D" w:rsidRDefault="00E041F5" w:rsidP="00E041F5">
      <w:pPr>
        <w:jc w:val="both"/>
        <w:outlineLvl w:val="0"/>
        <w:rPr>
          <w:rFonts w:ascii="Arial" w:hAnsi="Arial" w:cs="Arial"/>
          <w:bCs/>
          <w:sz w:val="22"/>
          <w:szCs w:val="22"/>
          <w:lang w:val="en-US"/>
        </w:rPr>
      </w:pPr>
    </w:p>
    <w:p w14:paraId="7BAACC7C" w14:textId="26F15898" w:rsidR="00E041F5" w:rsidRPr="00BE005D" w:rsidRDefault="00E041F5" w:rsidP="00621CAE">
      <w:pPr>
        <w:jc w:val="both"/>
        <w:outlineLvl w:val="0"/>
        <w:rPr>
          <w:rFonts w:ascii="Arial" w:hAnsi="Arial" w:cs="Arial"/>
          <w:sz w:val="22"/>
          <w:szCs w:val="22"/>
          <w:lang w:val="en-US"/>
        </w:rPr>
      </w:pPr>
      <w:r w:rsidRPr="00BE005D">
        <w:rPr>
          <w:rFonts w:ascii="Arial" w:hAnsi="Arial" w:cs="Arial"/>
          <w:sz w:val="22"/>
          <w:szCs w:val="22"/>
          <w:lang w:val="en-US"/>
        </w:rPr>
        <w:t xml:space="preserve">Two native isolates of </w:t>
      </w:r>
      <w:r w:rsidRPr="00BE005D">
        <w:rPr>
          <w:rFonts w:ascii="Arial" w:hAnsi="Arial" w:cs="Arial"/>
          <w:i/>
          <w:sz w:val="22"/>
          <w:szCs w:val="22"/>
          <w:lang w:val="en-US"/>
        </w:rPr>
        <w:t>G. diazotrophicus</w:t>
      </w:r>
      <w:r w:rsidRPr="00BE005D">
        <w:rPr>
          <w:rFonts w:ascii="Arial" w:hAnsi="Arial" w:cs="Arial"/>
          <w:sz w:val="22"/>
          <w:szCs w:val="22"/>
          <w:lang w:val="en-US"/>
        </w:rPr>
        <w:t xml:space="preserve"> identified as GIBI025 and GIBI029 from the Collection of Microorganisms of the Catholic University of Manizales were used, isolated and identified in previous works (Restrepo </w:t>
      </w:r>
      <w:r w:rsidRPr="00BE005D">
        <w:rPr>
          <w:rFonts w:ascii="Arial" w:hAnsi="Arial" w:cs="Arial"/>
          <w:i/>
          <w:iCs/>
          <w:sz w:val="22"/>
          <w:szCs w:val="22"/>
          <w:lang w:val="en-US"/>
        </w:rPr>
        <w:t>et al</w:t>
      </w:r>
      <w:r w:rsidRPr="00BE005D">
        <w:rPr>
          <w:rFonts w:ascii="Arial" w:hAnsi="Arial" w:cs="Arial"/>
          <w:sz w:val="22"/>
          <w:szCs w:val="22"/>
          <w:lang w:val="en-US"/>
        </w:rPr>
        <w:t>.</w:t>
      </w:r>
      <w:r w:rsidR="00621CAE" w:rsidRPr="00BE005D">
        <w:rPr>
          <w:rFonts w:ascii="Arial" w:hAnsi="Arial" w:cs="Arial"/>
          <w:sz w:val="22"/>
          <w:szCs w:val="22"/>
          <w:lang w:val="en-US"/>
        </w:rPr>
        <w:t>,</w:t>
      </w:r>
      <w:r w:rsidRPr="00BE005D">
        <w:rPr>
          <w:rFonts w:ascii="Arial" w:hAnsi="Arial" w:cs="Arial"/>
          <w:sz w:val="22"/>
          <w:szCs w:val="22"/>
          <w:lang w:val="en-US"/>
        </w:rPr>
        <w:t xml:space="preserve"> 2017). Type strain ATCC 49037 from the NCIMB (National Collection of Industrial, Food and Marine Bacteria) was used. The bacteria were recovered from vials cryopreserved at -80 °C in Potato Dextrose Agar (PDA) </w:t>
      </w:r>
      <w:proofErr w:type="spellStart"/>
      <w:r w:rsidRPr="00BE005D">
        <w:rPr>
          <w:rFonts w:ascii="Arial" w:hAnsi="Arial" w:cs="Arial"/>
          <w:sz w:val="22"/>
          <w:szCs w:val="22"/>
          <w:lang w:val="en-US"/>
        </w:rPr>
        <w:t>Oxoid</w:t>
      </w:r>
      <w:proofErr w:type="spellEnd"/>
      <w:r w:rsidRPr="00BE005D">
        <w:rPr>
          <w:rFonts w:ascii="Arial" w:hAnsi="Arial" w:cs="Arial"/>
          <w:sz w:val="22"/>
          <w:szCs w:val="22"/>
          <w:lang w:val="en-US"/>
        </w:rPr>
        <w:t>® at a temperature of 30 °C to obtain isolated colonies.</w:t>
      </w:r>
    </w:p>
    <w:p w14:paraId="13E07638" w14:textId="77777777" w:rsidR="00621CAE" w:rsidRPr="00BE005D" w:rsidRDefault="00621CAE" w:rsidP="00621CAE">
      <w:pPr>
        <w:jc w:val="both"/>
        <w:outlineLvl w:val="0"/>
        <w:rPr>
          <w:rFonts w:ascii="Arial" w:hAnsi="Arial" w:cs="Arial"/>
          <w:bCs/>
          <w:sz w:val="22"/>
          <w:szCs w:val="22"/>
          <w:lang w:val="en-US"/>
        </w:rPr>
      </w:pPr>
    </w:p>
    <w:p w14:paraId="4E7C53EA" w14:textId="7007F0B9" w:rsidR="00E041F5" w:rsidRPr="00BE005D" w:rsidRDefault="00E041F5" w:rsidP="00E041F5">
      <w:pPr>
        <w:pStyle w:val="Ttulo2"/>
        <w:spacing w:before="0" w:after="0"/>
        <w:jc w:val="both"/>
        <w:rPr>
          <w:rFonts w:ascii="Arial" w:hAnsi="Arial" w:cs="Arial"/>
          <w:sz w:val="22"/>
          <w:szCs w:val="22"/>
          <w:lang w:val="en-US"/>
        </w:rPr>
      </w:pPr>
      <w:r w:rsidRPr="00BE005D">
        <w:rPr>
          <w:rFonts w:ascii="Arial" w:hAnsi="Arial" w:cs="Arial"/>
          <w:sz w:val="22"/>
          <w:szCs w:val="22"/>
          <w:lang w:val="en-US"/>
        </w:rPr>
        <w:t>Evaluation of phosphate solubilizing capacity</w:t>
      </w:r>
    </w:p>
    <w:p w14:paraId="12AC2149" w14:textId="77777777" w:rsidR="00E041F5" w:rsidRPr="00BE005D" w:rsidRDefault="00E041F5" w:rsidP="00E041F5">
      <w:pPr>
        <w:jc w:val="both"/>
        <w:rPr>
          <w:rFonts w:ascii="Arial" w:hAnsi="Arial" w:cs="Arial"/>
          <w:sz w:val="22"/>
          <w:szCs w:val="22"/>
          <w:lang w:val="en-US"/>
        </w:rPr>
      </w:pPr>
    </w:p>
    <w:p w14:paraId="7085A8DC" w14:textId="51DA4D74" w:rsidR="00E041F5" w:rsidRPr="00BE005D" w:rsidRDefault="00E041F5" w:rsidP="00E041F5">
      <w:pPr>
        <w:pStyle w:val="Ttulo2"/>
        <w:spacing w:before="0" w:after="0"/>
        <w:jc w:val="both"/>
        <w:rPr>
          <w:rFonts w:ascii="Arial" w:hAnsi="Arial" w:cs="Arial"/>
          <w:b w:val="0"/>
          <w:bCs/>
          <w:sz w:val="22"/>
          <w:szCs w:val="22"/>
          <w:lang w:val="en-US"/>
        </w:rPr>
      </w:pPr>
      <w:r w:rsidRPr="00BE005D">
        <w:rPr>
          <w:rFonts w:ascii="Arial" w:hAnsi="Arial" w:cs="Arial"/>
          <w:b w:val="0"/>
          <w:sz w:val="22"/>
          <w:szCs w:val="22"/>
          <w:lang w:val="en-US"/>
        </w:rPr>
        <w:lastRenderedPageBreak/>
        <w:t xml:space="preserve">An inoculum of </w:t>
      </w:r>
      <w:r w:rsidRPr="00BE005D">
        <w:rPr>
          <w:rFonts w:ascii="Arial" w:hAnsi="Arial" w:cs="Arial"/>
          <w:b w:val="0"/>
          <w:i/>
          <w:sz w:val="22"/>
          <w:szCs w:val="22"/>
          <w:lang w:val="en-US"/>
        </w:rPr>
        <w:t>G. diazotrophicus</w:t>
      </w:r>
      <w:r w:rsidRPr="00BE005D">
        <w:rPr>
          <w:rFonts w:ascii="Arial" w:hAnsi="Arial" w:cs="Arial"/>
          <w:b w:val="0"/>
          <w:sz w:val="22"/>
          <w:szCs w:val="22"/>
          <w:lang w:val="en-US"/>
        </w:rPr>
        <w:t xml:space="preserve"> from a colony isolated in PDA was obtained and transferred to vials containing 5 mL of DYGS broth (</w:t>
      </w:r>
      <w:r w:rsidR="00667D0B" w:rsidRPr="00BE005D">
        <w:rPr>
          <w:rFonts w:ascii="Arial" w:hAnsi="Arial" w:cs="Arial"/>
          <w:b w:val="0"/>
          <w:sz w:val="22"/>
          <w:szCs w:val="22"/>
          <w:lang w:val="en-US"/>
        </w:rPr>
        <w:t xml:space="preserve">Alexander </w:t>
      </w:r>
      <w:r w:rsidR="00667D0B" w:rsidRPr="00BE005D">
        <w:rPr>
          <w:rFonts w:ascii="Arial" w:hAnsi="Arial" w:cs="Arial"/>
          <w:b w:val="0"/>
          <w:i/>
          <w:iCs/>
          <w:sz w:val="22"/>
          <w:szCs w:val="22"/>
          <w:lang w:val="en-US"/>
        </w:rPr>
        <w:t>et al</w:t>
      </w:r>
      <w:r w:rsidR="00667D0B" w:rsidRPr="00BE005D">
        <w:rPr>
          <w:rFonts w:ascii="Arial" w:hAnsi="Arial" w:cs="Arial"/>
          <w:b w:val="0"/>
          <w:sz w:val="22"/>
          <w:szCs w:val="22"/>
          <w:lang w:val="en-US"/>
        </w:rPr>
        <w:t>., 2020</w:t>
      </w:r>
      <w:r w:rsidRPr="00BE005D">
        <w:rPr>
          <w:rFonts w:ascii="Arial" w:hAnsi="Arial" w:cs="Arial"/>
          <w:b w:val="0"/>
          <w:sz w:val="22"/>
          <w:szCs w:val="22"/>
          <w:lang w:val="en-US"/>
        </w:rPr>
        <w:t>). Later, a scaling was performed to a volume of 250 m</w:t>
      </w:r>
      <w:r w:rsidR="004D3875" w:rsidRPr="00BE005D">
        <w:rPr>
          <w:rFonts w:ascii="Arial" w:hAnsi="Arial" w:cs="Arial"/>
          <w:b w:val="0"/>
          <w:sz w:val="22"/>
          <w:szCs w:val="22"/>
          <w:lang w:val="en-US"/>
        </w:rPr>
        <w:t>L</w:t>
      </w:r>
      <w:r w:rsidRPr="00BE005D">
        <w:rPr>
          <w:rFonts w:ascii="Arial" w:hAnsi="Arial" w:cs="Arial"/>
          <w:b w:val="0"/>
          <w:sz w:val="22"/>
          <w:szCs w:val="22"/>
          <w:lang w:val="en-US"/>
        </w:rPr>
        <w:t xml:space="preserve"> in the same culture medium. The broths were incubated for four to five days, at 150 rpm and 30 °C (</w:t>
      </w:r>
      <w:proofErr w:type="spellStart"/>
      <w:r w:rsidRPr="00BE005D">
        <w:rPr>
          <w:rFonts w:ascii="Arial" w:hAnsi="Arial" w:cs="Arial"/>
          <w:b w:val="0"/>
          <w:sz w:val="22"/>
          <w:szCs w:val="22"/>
          <w:lang w:val="en-US"/>
        </w:rPr>
        <w:t>Actum</w:t>
      </w:r>
      <w:proofErr w:type="spellEnd"/>
      <w:r w:rsidRPr="00BE005D">
        <w:rPr>
          <w:rFonts w:ascii="Arial" w:hAnsi="Arial" w:cs="Arial"/>
          <w:b w:val="0"/>
          <w:sz w:val="22"/>
          <w:szCs w:val="22"/>
          <w:lang w:val="en-US"/>
        </w:rPr>
        <w:t>, Colombia) to an approximate concentration of 10</w:t>
      </w:r>
      <w:r w:rsidRPr="00BE005D">
        <w:rPr>
          <w:rFonts w:ascii="Arial" w:hAnsi="Arial" w:cs="Arial"/>
          <w:b w:val="0"/>
          <w:sz w:val="22"/>
          <w:szCs w:val="22"/>
          <w:vertAlign w:val="superscript"/>
          <w:lang w:val="en-US"/>
        </w:rPr>
        <w:t>8</w:t>
      </w:r>
      <w:r w:rsidRPr="00BE005D">
        <w:rPr>
          <w:rFonts w:ascii="Arial" w:hAnsi="Arial" w:cs="Arial"/>
          <w:b w:val="0"/>
          <w:sz w:val="22"/>
          <w:szCs w:val="22"/>
          <w:lang w:val="en-US"/>
        </w:rPr>
        <w:t xml:space="preserve"> cells/m</w:t>
      </w:r>
      <w:r w:rsidR="004D3875" w:rsidRPr="00BE005D">
        <w:rPr>
          <w:rFonts w:ascii="Arial" w:hAnsi="Arial" w:cs="Arial"/>
          <w:b w:val="0"/>
          <w:sz w:val="22"/>
          <w:szCs w:val="22"/>
          <w:lang w:val="en-US"/>
        </w:rPr>
        <w:t>L</w:t>
      </w:r>
      <w:r w:rsidRPr="00BE005D">
        <w:rPr>
          <w:rFonts w:ascii="Arial" w:hAnsi="Arial" w:cs="Arial"/>
          <w:b w:val="0"/>
          <w:sz w:val="22"/>
          <w:szCs w:val="22"/>
          <w:lang w:val="en-US"/>
        </w:rPr>
        <w:t xml:space="preserve"> (D.O </w:t>
      </w:r>
      <w:r w:rsidRPr="00BE005D">
        <w:rPr>
          <w:rFonts w:ascii="Arial" w:hAnsi="Arial" w:cs="Arial"/>
          <w:b w:val="0"/>
          <w:sz w:val="22"/>
          <w:szCs w:val="22"/>
          <w:vertAlign w:val="subscript"/>
          <w:lang w:val="en-US"/>
        </w:rPr>
        <w:t>600nm</w:t>
      </w:r>
      <w:r w:rsidRPr="00BE005D">
        <w:rPr>
          <w:rFonts w:ascii="Arial" w:hAnsi="Arial" w:cs="Arial"/>
          <w:b w:val="0"/>
          <w:sz w:val="22"/>
          <w:szCs w:val="22"/>
          <w:lang w:val="en-US"/>
        </w:rPr>
        <w:t xml:space="preserve"> 0</w:t>
      </w:r>
      <w:r w:rsidR="00E465E7" w:rsidRPr="00BE005D">
        <w:rPr>
          <w:rFonts w:ascii="Arial" w:hAnsi="Arial" w:cs="Arial"/>
          <w:b w:val="0"/>
          <w:sz w:val="22"/>
          <w:szCs w:val="22"/>
          <w:lang w:val="en-US"/>
        </w:rPr>
        <w:t>,</w:t>
      </w:r>
      <w:r w:rsidRPr="00BE005D">
        <w:rPr>
          <w:rFonts w:ascii="Arial" w:hAnsi="Arial" w:cs="Arial"/>
          <w:b w:val="0"/>
          <w:sz w:val="22"/>
          <w:szCs w:val="22"/>
          <w:lang w:val="en-US"/>
        </w:rPr>
        <w:t>9-1</w:t>
      </w:r>
      <w:r w:rsidR="00E465E7" w:rsidRPr="00BE005D">
        <w:rPr>
          <w:rFonts w:ascii="Arial" w:hAnsi="Arial" w:cs="Arial"/>
          <w:b w:val="0"/>
          <w:sz w:val="22"/>
          <w:szCs w:val="22"/>
          <w:lang w:val="en-US"/>
        </w:rPr>
        <w:t>,0</w:t>
      </w:r>
      <w:r w:rsidRPr="00BE005D">
        <w:rPr>
          <w:rFonts w:ascii="Arial" w:hAnsi="Arial" w:cs="Arial"/>
          <w:b w:val="0"/>
          <w:sz w:val="22"/>
          <w:szCs w:val="22"/>
          <w:lang w:val="en-US"/>
        </w:rPr>
        <w:t>) determined in a spectrophotometer (Thermo Bio 5, USA).</w:t>
      </w:r>
    </w:p>
    <w:p w14:paraId="52ABFABB" w14:textId="77777777" w:rsidR="00E041F5" w:rsidRPr="00BE005D" w:rsidRDefault="00E041F5" w:rsidP="00E041F5">
      <w:pPr>
        <w:jc w:val="both"/>
        <w:rPr>
          <w:rFonts w:ascii="Arial" w:hAnsi="Arial" w:cs="Arial"/>
          <w:b/>
          <w:sz w:val="22"/>
          <w:szCs w:val="22"/>
          <w:lang w:val="en-US"/>
        </w:rPr>
      </w:pPr>
    </w:p>
    <w:p w14:paraId="2ABEA6AF" w14:textId="77777777" w:rsidR="00E041F5" w:rsidRPr="00BE005D" w:rsidRDefault="00E041F5" w:rsidP="00E041F5">
      <w:pPr>
        <w:jc w:val="both"/>
        <w:rPr>
          <w:rFonts w:ascii="Arial" w:hAnsi="Arial" w:cs="Arial"/>
          <w:b/>
          <w:sz w:val="22"/>
          <w:szCs w:val="22"/>
          <w:lang w:val="en-US"/>
        </w:rPr>
      </w:pPr>
      <w:r w:rsidRPr="00BE005D">
        <w:rPr>
          <w:rFonts w:ascii="Arial" w:hAnsi="Arial" w:cs="Arial"/>
          <w:b/>
          <w:sz w:val="22"/>
          <w:szCs w:val="22"/>
          <w:lang w:val="en-US"/>
        </w:rPr>
        <w:t>Semiquantitative evaluation</w:t>
      </w:r>
    </w:p>
    <w:p w14:paraId="09868B78" w14:textId="77777777" w:rsidR="00E041F5" w:rsidRPr="00BE005D" w:rsidRDefault="00E041F5" w:rsidP="00E041F5">
      <w:pPr>
        <w:jc w:val="both"/>
        <w:rPr>
          <w:rFonts w:ascii="Arial" w:hAnsi="Arial" w:cs="Arial"/>
          <w:sz w:val="22"/>
          <w:szCs w:val="22"/>
          <w:lang w:val="en-US"/>
        </w:rPr>
      </w:pPr>
    </w:p>
    <w:p w14:paraId="6F0D5DBD" w14:textId="55F1E766" w:rsidR="00E041F5" w:rsidRPr="00BE005D" w:rsidRDefault="00E041F5" w:rsidP="00E041F5">
      <w:pPr>
        <w:jc w:val="both"/>
        <w:rPr>
          <w:rFonts w:ascii="Arial" w:hAnsi="Arial" w:cs="Arial"/>
          <w:sz w:val="22"/>
          <w:szCs w:val="22"/>
          <w:lang w:val="en-US"/>
        </w:rPr>
      </w:pPr>
      <w:r w:rsidRPr="00BE005D">
        <w:rPr>
          <w:rFonts w:ascii="Arial" w:hAnsi="Arial" w:cs="Arial"/>
          <w:sz w:val="22"/>
          <w:szCs w:val="22"/>
          <w:lang w:val="en-US"/>
        </w:rPr>
        <w:t>The assembly was performed out in Petri dishes of 90 mm in diameter containing NBRIP medium (</w:t>
      </w:r>
      <w:proofErr w:type="spellStart"/>
      <w:r w:rsidRPr="00BE005D">
        <w:rPr>
          <w:rFonts w:ascii="Arial" w:hAnsi="Arial" w:cs="Arial"/>
          <w:sz w:val="22"/>
          <w:szCs w:val="22"/>
          <w:lang w:val="en-US"/>
        </w:rPr>
        <w:t>Nautiyal</w:t>
      </w:r>
      <w:proofErr w:type="spellEnd"/>
      <w:r w:rsidRPr="00BE005D">
        <w:rPr>
          <w:rFonts w:ascii="Arial" w:hAnsi="Arial" w:cs="Arial"/>
          <w:sz w:val="22"/>
          <w:szCs w:val="22"/>
          <w:lang w:val="en-US"/>
        </w:rPr>
        <w:t>, 1999) supplemented individually with 5 g/</w:t>
      </w:r>
      <w:r w:rsidR="004D3875" w:rsidRPr="00BE005D">
        <w:rPr>
          <w:rFonts w:ascii="Arial" w:hAnsi="Arial" w:cs="Arial"/>
          <w:sz w:val="22"/>
          <w:szCs w:val="22"/>
          <w:lang w:val="en-US"/>
        </w:rPr>
        <w:t>L</w:t>
      </w:r>
      <w:r w:rsidRPr="00BE005D">
        <w:rPr>
          <w:rFonts w:ascii="Arial" w:hAnsi="Arial" w:cs="Arial"/>
          <w:sz w:val="22"/>
          <w:szCs w:val="22"/>
          <w:lang w:val="en-US"/>
        </w:rPr>
        <w:t xml:space="preserve"> of different forms of inorganic P (Ca</w:t>
      </w:r>
      <w:r w:rsidRPr="00BE005D">
        <w:rPr>
          <w:rFonts w:ascii="Arial" w:hAnsi="Arial" w:cs="Arial"/>
          <w:sz w:val="22"/>
          <w:szCs w:val="22"/>
          <w:vertAlign w:val="subscript"/>
          <w:lang w:val="en-US"/>
        </w:rPr>
        <w:t>3</w:t>
      </w:r>
      <w:r w:rsidRPr="00BE005D">
        <w:rPr>
          <w:rFonts w:ascii="Arial" w:hAnsi="Arial" w:cs="Arial"/>
          <w:sz w:val="22"/>
          <w:szCs w:val="22"/>
          <w:lang w:val="en-US"/>
        </w:rPr>
        <w:t>(PO</w:t>
      </w:r>
      <w:r w:rsidRPr="00BE005D">
        <w:rPr>
          <w:rFonts w:ascii="Arial" w:hAnsi="Arial" w:cs="Arial"/>
          <w:sz w:val="22"/>
          <w:szCs w:val="22"/>
          <w:vertAlign w:val="subscript"/>
          <w:lang w:val="en-US"/>
        </w:rPr>
        <w:t>4</w:t>
      </w:r>
      <w:r w:rsidRPr="00BE005D">
        <w:rPr>
          <w:rFonts w:ascii="Arial" w:hAnsi="Arial" w:cs="Arial"/>
          <w:sz w:val="22"/>
          <w:szCs w:val="22"/>
          <w:lang w:val="en-US"/>
        </w:rPr>
        <w:t>)</w:t>
      </w:r>
      <w:r w:rsidRPr="00BE005D">
        <w:rPr>
          <w:rFonts w:ascii="Arial" w:hAnsi="Arial" w:cs="Arial"/>
          <w:sz w:val="22"/>
          <w:szCs w:val="22"/>
          <w:vertAlign w:val="subscript"/>
          <w:lang w:val="en-US"/>
        </w:rPr>
        <w:t>2</w:t>
      </w:r>
      <w:r w:rsidRPr="00BE005D">
        <w:rPr>
          <w:rFonts w:ascii="Arial" w:hAnsi="Arial" w:cs="Arial"/>
          <w:sz w:val="22"/>
          <w:szCs w:val="22"/>
          <w:lang w:val="en-US"/>
        </w:rPr>
        <w:t>, AlPO</w:t>
      </w:r>
      <w:r w:rsidRPr="00BE005D">
        <w:rPr>
          <w:rFonts w:ascii="Arial" w:hAnsi="Arial" w:cs="Arial"/>
          <w:sz w:val="22"/>
          <w:szCs w:val="22"/>
          <w:vertAlign w:val="subscript"/>
          <w:lang w:val="en-US"/>
        </w:rPr>
        <w:t>4</w:t>
      </w:r>
      <w:r w:rsidRPr="00BE005D">
        <w:rPr>
          <w:rFonts w:ascii="Arial" w:hAnsi="Arial" w:cs="Arial"/>
          <w:sz w:val="22"/>
          <w:szCs w:val="22"/>
          <w:lang w:val="en-US"/>
        </w:rPr>
        <w:t xml:space="preserve"> and FePO</w:t>
      </w:r>
      <w:r w:rsidRPr="00BE005D">
        <w:rPr>
          <w:rFonts w:ascii="Arial" w:hAnsi="Arial" w:cs="Arial"/>
          <w:sz w:val="22"/>
          <w:szCs w:val="22"/>
          <w:vertAlign w:val="subscript"/>
          <w:lang w:val="en-US"/>
        </w:rPr>
        <w:t>4</w:t>
      </w:r>
      <w:r w:rsidRPr="00BE005D">
        <w:rPr>
          <w:rFonts w:ascii="Arial" w:hAnsi="Arial" w:cs="Arial"/>
          <w:sz w:val="22"/>
          <w:szCs w:val="22"/>
          <w:lang w:val="en-US"/>
        </w:rPr>
        <w:t>). Bromocresol green dye at a concentration of 0</w:t>
      </w:r>
      <w:r w:rsidR="00F07467" w:rsidRPr="00BE005D">
        <w:rPr>
          <w:rFonts w:ascii="Arial" w:hAnsi="Arial" w:cs="Arial"/>
          <w:sz w:val="22"/>
          <w:szCs w:val="22"/>
          <w:lang w:val="en-US"/>
        </w:rPr>
        <w:t>,</w:t>
      </w:r>
      <w:r w:rsidRPr="00BE005D">
        <w:rPr>
          <w:rFonts w:ascii="Arial" w:hAnsi="Arial" w:cs="Arial"/>
          <w:sz w:val="22"/>
          <w:szCs w:val="22"/>
          <w:lang w:val="en-US"/>
        </w:rPr>
        <w:t>022 g/l was added as pH indicator to facilitate the display of solubilization halos. Of each bacterium were planted 20 µ/</w:t>
      </w:r>
      <w:r w:rsidR="004D3875" w:rsidRPr="00BE005D">
        <w:rPr>
          <w:rFonts w:ascii="Arial" w:hAnsi="Arial" w:cs="Arial"/>
          <w:sz w:val="22"/>
          <w:szCs w:val="22"/>
          <w:lang w:val="en-US"/>
        </w:rPr>
        <w:t>L</w:t>
      </w:r>
      <w:r w:rsidRPr="00BE005D">
        <w:rPr>
          <w:rFonts w:ascii="Arial" w:hAnsi="Arial" w:cs="Arial"/>
          <w:sz w:val="22"/>
          <w:szCs w:val="22"/>
          <w:lang w:val="en-US"/>
        </w:rPr>
        <w:t xml:space="preserve"> of the inoculum on the surface of each medium in triplicate. The Petri dishes were incubated at 30 °C for 10 days, period during which daily monitoring was made and the </w:t>
      </w:r>
      <w:r w:rsidR="008A1AF6" w:rsidRPr="00BE005D">
        <w:rPr>
          <w:rFonts w:ascii="Arial" w:hAnsi="Arial" w:cs="Arial"/>
          <w:sz w:val="22"/>
          <w:szCs w:val="22"/>
          <w:lang w:val="en-US"/>
        </w:rPr>
        <w:t>S</w:t>
      </w:r>
      <w:r w:rsidRPr="00BE005D">
        <w:rPr>
          <w:rFonts w:ascii="Arial" w:hAnsi="Arial" w:cs="Arial"/>
          <w:sz w:val="22"/>
          <w:szCs w:val="22"/>
          <w:lang w:val="en-US"/>
        </w:rPr>
        <w:t xml:space="preserve">olubilization </w:t>
      </w:r>
      <w:r w:rsidR="008A1AF6" w:rsidRPr="00BE005D">
        <w:rPr>
          <w:rFonts w:ascii="Arial" w:hAnsi="Arial" w:cs="Arial"/>
          <w:sz w:val="22"/>
          <w:szCs w:val="22"/>
          <w:lang w:val="en-US"/>
        </w:rPr>
        <w:t>I</w:t>
      </w:r>
      <w:r w:rsidRPr="00BE005D">
        <w:rPr>
          <w:rFonts w:ascii="Arial" w:hAnsi="Arial" w:cs="Arial"/>
          <w:sz w:val="22"/>
          <w:szCs w:val="22"/>
          <w:lang w:val="en-US"/>
        </w:rPr>
        <w:t xml:space="preserve">ndex (SI) was calculated according to the </w:t>
      </w:r>
      <w:r w:rsidR="00784CB8" w:rsidRPr="00BE005D">
        <w:rPr>
          <w:rFonts w:ascii="Arial" w:hAnsi="Arial" w:cs="Arial"/>
          <w:sz w:val="22"/>
          <w:szCs w:val="22"/>
          <w:lang w:val="en-US"/>
        </w:rPr>
        <w:t>E</w:t>
      </w:r>
      <w:r w:rsidR="00FE5AB5" w:rsidRPr="00BE005D">
        <w:rPr>
          <w:rFonts w:ascii="Arial" w:hAnsi="Arial" w:cs="Arial"/>
          <w:sz w:val="22"/>
          <w:szCs w:val="22"/>
          <w:lang w:val="en-US"/>
        </w:rPr>
        <w:t>quation 1</w:t>
      </w:r>
      <w:r w:rsidRPr="00BE005D">
        <w:rPr>
          <w:rFonts w:ascii="Arial" w:hAnsi="Arial" w:cs="Arial"/>
          <w:sz w:val="22"/>
          <w:szCs w:val="22"/>
          <w:lang w:val="en-US"/>
        </w:rPr>
        <w:t xml:space="preserve">, where A corresponds to the total diameter (colony + halo) and B to the diameter of the colony </w:t>
      </w:r>
      <w:r w:rsidR="00FE5AB5" w:rsidRPr="00BE005D">
        <w:rPr>
          <w:rFonts w:ascii="Arial" w:hAnsi="Arial" w:cs="Arial"/>
          <w:sz w:val="22"/>
          <w:szCs w:val="22"/>
          <w:lang w:val="en-US"/>
        </w:rPr>
        <w:t xml:space="preserve">according to </w:t>
      </w:r>
      <w:r w:rsidRPr="00BE005D">
        <w:rPr>
          <w:rFonts w:ascii="Arial" w:hAnsi="Arial" w:cs="Arial"/>
          <w:noProof/>
          <w:sz w:val="22"/>
          <w:szCs w:val="22"/>
          <w:lang w:val="en-US"/>
        </w:rPr>
        <w:t xml:space="preserve">Edi–Premono </w:t>
      </w:r>
      <w:r w:rsidRPr="00BE005D">
        <w:rPr>
          <w:rFonts w:ascii="Arial" w:hAnsi="Arial" w:cs="Arial"/>
          <w:i/>
          <w:iCs/>
          <w:noProof/>
          <w:sz w:val="22"/>
          <w:szCs w:val="22"/>
          <w:lang w:val="en-US"/>
        </w:rPr>
        <w:t>et al</w:t>
      </w:r>
      <w:r w:rsidRPr="00BE005D">
        <w:rPr>
          <w:rFonts w:ascii="Arial" w:hAnsi="Arial" w:cs="Arial"/>
          <w:noProof/>
          <w:sz w:val="22"/>
          <w:szCs w:val="22"/>
          <w:lang w:val="en-US"/>
        </w:rPr>
        <w:t>.</w:t>
      </w:r>
      <w:r w:rsidR="00621CAE" w:rsidRPr="00BE005D">
        <w:rPr>
          <w:rFonts w:ascii="Arial" w:hAnsi="Arial" w:cs="Arial"/>
          <w:noProof/>
          <w:sz w:val="22"/>
          <w:szCs w:val="22"/>
          <w:lang w:val="en-US"/>
        </w:rPr>
        <w:t>,</w:t>
      </w:r>
      <w:r w:rsidRPr="00BE005D">
        <w:rPr>
          <w:rFonts w:ascii="Arial" w:hAnsi="Arial" w:cs="Arial"/>
          <w:noProof/>
          <w:sz w:val="22"/>
          <w:szCs w:val="22"/>
          <w:lang w:val="en-US"/>
        </w:rPr>
        <w:t xml:space="preserve"> </w:t>
      </w:r>
      <w:r w:rsidR="00FE5AB5" w:rsidRPr="00BE005D">
        <w:rPr>
          <w:rFonts w:ascii="Arial" w:hAnsi="Arial" w:cs="Arial"/>
          <w:noProof/>
          <w:sz w:val="22"/>
          <w:szCs w:val="22"/>
          <w:lang w:val="en-US"/>
        </w:rPr>
        <w:t>(</w:t>
      </w:r>
      <w:r w:rsidRPr="00BE005D">
        <w:rPr>
          <w:rFonts w:ascii="Arial" w:hAnsi="Arial" w:cs="Arial"/>
          <w:sz w:val="22"/>
          <w:szCs w:val="22"/>
          <w:lang w:val="en-US"/>
        </w:rPr>
        <w:t>199</w:t>
      </w:r>
      <w:r w:rsidR="007F199A" w:rsidRPr="00BE005D">
        <w:rPr>
          <w:rFonts w:ascii="Arial" w:hAnsi="Arial" w:cs="Arial"/>
          <w:sz w:val="22"/>
          <w:szCs w:val="22"/>
          <w:lang w:val="en-US"/>
        </w:rPr>
        <w:t>6</w:t>
      </w:r>
      <w:r w:rsidRPr="00BE005D">
        <w:rPr>
          <w:rFonts w:ascii="Arial" w:hAnsi="Arial" w:cs="Arial"/>
          <w:sz w:val="22"/>
          <w:szCs w:val="22"/>
          <w:lang w:val="en-US"/>
        </w:rPr>
        <w:t xml:space="preserve">). An estimate of the amount of acids released by the bacteria was performed by measuring the size of the color changing halos given by the presence of the pH indicator, and the </w:t>
      </w:r>
      <w:r w:rsidR="00EA3476" w:rsidRPr="00BE005D">
        <w:rPr>
          <w:rFonts w:ascii="Arial" w:hAnsi="Arial" w:cs="Arial"/>
          <w:sz w:val="22"/>
          <w:szCs w:val="22"/>
          <w:lang w:val="en-US"/>
        </w:rPr>
        <w:t>A</w:t>
      </w:r>
      <w:r w:rsidRPr="00BE005D">
        <w:rPr>
          <w:rFonts w:ascii="Arial" w:hAnsi="Arial" w:cs="Arial"/>
          <w:sz w:val="22"/>
          <w:szCs w:val="22"/>
          <w:lang w:val="en-US"/>
        </w:rPr>
        <w:t xml:space="preserve">cid </w:t>
      </w:r>
      <w:r w:rsidR="00EA3476" w:rsidRPr="00BE005D">
        <w:rPr>
          <w:rFonts w:ascii="Arial" w:hAnsi="Arial" w:cs="Arial"/>
          <w:sz w:val="22"/>
          <w:szCs w:val="22"/>
          <w:lang w:val="en-US"/>
        </w:rPr>
        <w:t>P</w:t>
      </w:r>
      <w:r w:rsidRPr="00BE005D">
        <w:rPr>
          <w:rFonts w:ascii="Arial" w:hAnsi="Arial" w:cs="Arial"/>
          <w:sz w:val="22"/>
          <w:szCs w:val="22"/>
          <w:lang w:val="en-US"/>
        </w:rPr>
        <w:t xml:space="preserve">roduction </w:t>
      </w:r>
      <w:r w:rsidR="00EA3476" w:rsidRPr="00BE005D">
        <w:rPr>
          <w:rFonts w:ascii="Arial" w:hAnsi="Arial" w:cs="Arial"/>
          <w:sz w:val="22"/>
          <w:szCs w:val="22"/>
          <w:lang w:val="en-US"/>
        </w:rPr>
        <w:t>I</w:t>
      </w:r>
      <w:r w:rsidRPr="00BE005D">
        <w:rPr>
          <w:rFonts w:ascii="Arial" w:hAnsi="Arial" w:cs="Arial"/>
          <w:sz w:val="22"/>
          <w:szCs w:val="22"/>
          <w:lang w:val="en-US"/>
        </w:rPr>
        <w:t>ndex (API) was calculated based on the modified Edi-</w:t>
      </w:r>
      <w:proofErr w:type="spellStart"/>
      <w:r w:rsidRPr="00BE005D">
        <w:rPr>
          <w:rFonts w:ascii="Arial" w:hAnsi="Arial" w:cs="Arial"/>
          <w:sz w:val="22"/>
          <w:szCs w:val="22"/>
          <w:lang w:val="en-US"/>
        </w:rPr>
        <w:t>Premo</w:t>
      </w:r>
      <w:r w:rsidR="009E54EA" w:rsidRPr="00BE005D">
        <w:rPr>
          <w:rFonts w:ascii="Arial" w:hAnsi="Arial" w:cs="Arial"/>
          <w:sz w:val="22"/>
          <w:szCs w:val="22"/>
          <w:lang w:val="en-US"/>
        </w:rPr>
        <w:t>n</w:t>
      </w:r>
      <w:r w:rsidRPr="00BE005D">
        <w:rPr>
          <w:rFonts w:ascii="Arial" w:hAnsi="Arial" w:cs="Arial"/>
          <w:sz w:val="22"/>
          <w:szCs w:val="22"/>
          <w:lang w:val="en-US"/>
        </w:rPr>
        <w:t>o</w:t>
      </w:r>
      <w:proofErr w:type="spellEnd"/>
      <w:r w:rsidRPr="00BE005D">
        <w:rPr>
          <w:rFonts w:ascii="Arial" w:hAnsi="Arial" w:cs="Arial"/>
          <w:sz w:val="22"/>
          <w:szCs w:val="22"/>
          <w:lang w:val="en-US"/>
        </w:rPr>
        <w:t xml:space="preserve"> </w:t>
      </w:r>
      <w:r w:rsidRPr="00BE005D">
        <w:rPr>
          <w:rFonts w:ascii="Arial" w:hAnsi="Arial" w:cs="Arial"/>
          <w:i/>
          <w:iCs/>
          <w:sz w:val="22"/>
          <w:szCs w:val="22"/>
          <w:lang w:val="en-US"/>
        </w:rPr>
        <w:t>et al</w:t>
      </w:r>
      <w:r w:rsidRPr="00BE005D">
        <w:rPr>
          <w:rFonts w:ascii="Arial" w:hAnsi="Arial" w:cs="Arial"/>
          <w:sz w:val="22"/>
          <w:szCs w:val="22"/>
          <w:lang w:val="en-US"/>
        </w:rPr>
        <w:t>.</w:t>
      </w:r>
      <w:r w:rsidR="00621CAE" w:rsidRPr="00BE005D">
        <w:rPr>
          <w:rFonts w:ascii="Arial" w:hAnsi="Arial" w:cs="Arial"/>
          <w:sz w:val="22"/>
          <w:szCs w:val="22"/>
          <w:lang w:val="en-US"/>
        </w:rPr>
        <w:t>,</w:t>
      </w:r>
      <w:r w:rsidRPr="00BE005D">
        <w:rPr>
          <w:rFonts w:ascii="Arial" w:hAnsi="Arial" w:cs="Arial"/>
          <w:sz w:val="22"/>
          <w:szCs w:val="22"/>
          <w:lang w:val="en-US"/>
        </w:rPr>
        <w:t xml:space="preserve"> formula (199</w:t>
      </w:r>
      <w:r w:rsidR="007F199A" w:rsidRPr="00BE005D">
        <w:rPr>
          <w:rFonts w:ascii="Arial" w:hAnsi="Arial" w:cs="Arial"/>
          <w:sz w:val="22"/>
          <w:szCs w:val="22"/>
          <w:lang w:val="en-US"/>
        </w:rPr>
        <w:t>6</w:t>
      </w:r>
      <w:r w:rsidRPr="00BE005D">
        <w:rPr>
          <w:rFonts w:ascii="Arial" w:hAnsi="Arial" w:cs="Arial"/>
          <w:sz w:val="22"/>
          <w:szCs w:val="22"/>
          <w:lang w:val="en-US"/>
        </w:rPr>
        <w:t>)</w:t>
      </w:r>
      <w:r w:rsidR="00857ABC" w:rsidRPr="00BE005D">
        <w:rPr>
          <w:rFonts w:ascii="Arial" w:hAnsi="Arial" w:cs="Arial"/>
          <w:sz w:val="22"/>
          <w:szCs w:val="22"/>
          <w:lang w:val="en-US"/>
        </w:rPr>
        <w:t>.</w:t>
      </w:r>
      <w:r w:rsidRPr="00BE005D">
        <w:rPr>
          <w:rFonts w:ascii="Arial" w:hAnsi="Arial" w:cs="Arial"/>
          <w:sz w:val="22"/>
          <w:szCs w:val="22"/>
          <w:lang w:val="en-US"/>
        </w:rPr>
        <w:t xml:space="preserve"> A: total diameter of the colony + color changing halo, and B: size of the colony.</w:t>
      </w:r>
    </w:p>
    <w:p w14:paraId="44B8B7C0" w14:textId="7D6E2261" w:rsidR="00DF0041" w:rsidRPr="00BE005D" w:rsidRDefault="00DF0041" w:rsidP="00E041F5">
      <w:pPr>
        <w:jc w:val="both"/>
        <w:rPr>
          <w:rFonts w:ascii="Arial" w:hAnsi="Arial" w:cs="Arial"/>
          <w:lang w:val="en-US"/>
        </w:rPr>
      </w:pPr>
    </w:p>
    <w:p w14:paraId="0529D715" w14:textId="721B84F5" w:rsidR="00DF0041" w:rsidRPr="00BE005D" w:rsidRDefault="00093D42" w:rsidP="00E041F5">
      <w:pPr>
        <w:jc w:val="both"/>
        <w:rPr>
          <w:rFonts w:ascii="Arial" w:hAnsi="Arial" w:cs="Arial"/>
          <w:lang w:val="en-US"/>
        </w:rPr>
      </w:pPr>
      <m:oMathPara>
        <m:oMathParaPr>
          <m:jc m:val="left"/>
        </m:oMathParaPr>
        <m:oMath>
          <m:r>
            <w:rPr>
              <w:rFonts w:ascii="Cambria Math" w:hAnsi="Cambria Math" w:cs="Arial"/>
              <w:lang w:val="en-US"/>
            </w:rPr>
            <m:t>SI=</m:t>
          </m:r>
          <m:f>
            <m:fPr>
              <m:ctrlPr>
                <w:rPr>
                  <w:rFonts w:ascii="Cambria Math" w:hAnsi="Cambria Math" w:cs="Arial"/>
                  <w:i/>
                  <w:lang w:val="en-US"/>
                </w:rPr>
              </m:ctrlPr>
            </m:fPr>
            <m:num>
              <m:r>
                <w:rPr>
                  <w:rFonts w:ascii="Cambria Math" w:hAnsi="Cambria Math" w:cs="Arial"/>
                  <w:lang w:val="en-US"/>
                </w:rPr>
                <m:t>A</m:t>
              </m:r>
            </m:num>
            <m:den>
              <m:r>
                <w:rPr>
                  <w:rFonts w:ascii="Cambria Math" w:hAnsi="Cambria Math" w:cs="Arial"/>
                  <w:lang w:val="en-US"/>
                </w:rPr>
                <m:t>B</m:t>
              </m:r>
            </m:den>
          </m:f>
        </m:oMath>
      </m:oMathPara>
    </w:p>
    <w:p w14:paraId="6ED21784" w14:textId="47BB3A74" w:rsidR="00E041F5" w:rsidRPr="00BE005D" w:rsidRDefault="000B51D8" w:rsidP="000B51D8">
      <w:pPr>
        <w:jc w:val="right"/>
        <w:rPr>
          <w:rFonts w:ascii="Arial" w:hAnsi="Arial" w:cs="Arial"/>
          <w:bCs/>
          <w:lang w:val="en-US"/>
        </w:rPr>
      </w:pPr>
      <w:r w:rsidRPr="00BE005D">
        <w:rPr>
          <w:rFonts w:ascii="Arial" w:hAnsi="Arial" w:cs="Arial"/>
          <w:b/>
          <w:lang w:val="en-US"/>
        </w:rPr>
        <w:tab/>
      </w:r>
      <w:r w:rsidRPr="00BE005D">
        <w:rPr>
          <w:rFonts w:ascii="Arial" w:hAnsi="Arial" w:cs="Arial"/>
          <w:b/>
          <w:lang w:val="en-US"/>
        </w:rPr>
        <w:tab/>
      </w:r>
      <w:r w:rsidRPr="00BE005D">
        <w:rPr>
          <w:rFonts w:ascii="Arial" w:hAnsi="Arial" w:cs="Arial"/>
          <w:b/>
          <w:lang w:val="en-US"/>
        </w:rPr>
        <w:tab/>
      </w:r>
      <w:r w:rsidRPr="00BE005D">
        <w:rPr>
          <w:rFonts w:ascii="Arial" w:hAnsi="Arial" w:cs="Arial"/>
          <w:b/>
          <w:lang w:val="en-US"/>
        </w:rPr>
        <w:tab/>
      </w:r>
      <w:r w:rsidRPr="00BE005D">
        <w:rPr>
          <w:rFonts w:ascii="Arial" w:hAnsi="Arial" w:cs="Arial"/>
          <w:b/>
          <w:lang w:val="en-US"/>
        </w:rPr>
        <w:tab/>
      </w:r>
      <w:r w:rsidRPr="00BE005D">
        <w:rPr>
          <w:rFonts w:ascii="Arial" w:hAnsi="Arial" w:cs="Arial"/>
          <w:b/>
          <w:lang w:val="en-US"/>
        </w:rPr>
        <w:tab/>
      </w:r>
      <w:r w:rsidRPr="00BE005D">
        <w:rPr>
          <w:rFonts w:ascii="Arial" w:hAnsi="Arial" w:cs="Arial"/>
          <w:b/>
          <w:lang w:val="en-US"/>
        </w:rPr>
        <w:tab/>
      </w:r>
      <w:r w:rsidRPr="00BE005D">
        <w:rPr>
          <w:rFonts w:ascii="Arial" w:hAnsi="Arial" w:cs="Arial"/>
          <w:b/>
          <w:lang w:val="en-US"/>
        </w:rPr>
        <w:tab/>
      </w:r>
      <w:r w:rsidRPr="00BE005D">
        <w:rPr>
          <w:rFonts w:ascii="Arial" w:hAnsi="Arial" w:cs="Arial"/>
          <w:b/>
          <w:lang w:val="en-US"/>
        </w:rPr>
        <w:tab/>
      </w:r>
      <w:r w:rsidRPr="00BE005D">
        <w:rPr>
          <w:rFonts w:ascii="Arial" w:hAnsi="Arial" w:cs="Arial"/>
          <w:b/>
          <w:lang w:val="en-US"/>
        </w:rPr>
        <w:tab/>
      </w:r>
      <w:r w:rsidRPr="00BE005D">
        <w:rPr>
          <w:rFonts w:ascii="Arial" w:hAnsi="Arial" w:cs="Arial"/>
          <w:b/>
          <w:lang w:val="en-US"/>
        </w:rPr>
        <w:tab/>
      </w:r>
      <w:r w:rsidRPr="00BE005D">
        <w:rPr>
          <w:rFonts w:ascii="Arial" w:hAnsi="Arial" w:cs="Arial"/>
          <w:bCs/>
          <w:lang w:val="en-US"/>
        </w:rPr>
        <w:t>(Eq. 1)</w:t>
      </w:r>
    </w:p>
    <w:p w14:paraId="335E15FF" w14:textId="77777777" w:rsidR="000B51D8" w:rsidRPr="00BE005D" w:rsidRDefault="000B51D8" w:rsidP="00E041F5">
      <w:pPr>
        <w:jc w:val="both"/>
        <w:rPr>
          <w:rFonts w:ascii="Arial" w:hAnsi="Arial" w:cs="Arial"/>
          <w:b/>
          <w:lang w:val="en-US"/>
        </w:rPr>
      </w:pPr>
    </w:p>
    <w:p w14:paraId="0CDD0689" w14:textId="0CFC1CAF" w:rsidR="00E041F5" w:rsidRPr="00BE005D" w:rsidRDefault="00E041F5" w:rsidP="00E041F5">
      <w:pPr>
        <w:jc w:val="both"/>
        <w:rPr>
          <w:rFonts w:ascii="Arial" w:hAnsi="Arial" w:cs="Arial"/>
          <w:b/>
          <w:sz w:val="22"/>
          <w:szCs w:val="22"/>
          <w:lang w:val="en-US"/>
        </w:rPr>
      </w:pPr>
      <w:r w:rsidRPr="00BE005D">
        <w:rPr>
          <w:rFonts w:ascii="Arial" w:hAnsi="Arial" w:cs="Arial"/>
          <w:b/>
          <w:sz w:val="22"/>
          <w:szCs w:val="22"/>
          <w:lang w:val="en-US"/>
        </w:rPr>
        <w:t>Quantitative evaluation</w:t>
      </w:r>
    </w:p>
    <w:p w14:paraId="165078AF" w14:textId="77777777" w:rsidR="00E041F5" w:rsidRPr="00BE005D" w:rsidRDefault="00E041F5" w:rsidP="00E041F5">
      <w:pPr>
        <w:jc w:val="both"/>
        <w:rPr>
          <w:rFonts w:ascii="Arial" w:hAnsi="Arial" w:cs="Arial"/>
          <w:b/>
          <w:sz w:val="22"/>
          <w:szCs w:val="22"/>
          <w:lang w:val="en-US"/>
        </w:rPr>
      </w:pPr>
    </w:p>
    <w:p w14:paraId="28328CEB" w14:textId="2E783C30" w:rsidR="00E041F5" w:rsidRPr="00BE005D" w:rsidRDefault="00E041F5" w:rsidP="00E041F5">
      <w:pPr>
        <w:jc w:val="both"/>
        <w:rPr>
          <w:rFonts w:ascii="Arial" w:hAnsi="Arial" w:cs="Arial"/>
          <w:sz w:val="22"/>
          <w:szCs w:val="22"/>
          <w:lang w:val="en-US"/>
        </w:rPr>
      </w:pPr>
      <w:r w:rsidRPr="00BE005D">
        <w:rPr>
          <w:rFonts w:ascii="Arial" w:hAnsi="Arial" w:cs="Arial"/>
          <w:bCs/>
          <w:sz w:val="22"/>
          <w:szCs w:val="22"/>
          <w:lang w:val="en-US"/>
        </w:rPr>
        <w:t>S</w:t>
      </w:r>
      <w:r w:rsidRPr="00BE005D">
        <w:rPr>
          <w:rFonts w:ascii="Arial" w:hAnsi="Arial" w:cs="Arial"/>
          <w:sz w:val="22"/>
          <w:szCs w:val="22"/>
          <w:lang w:val="en-US"/>
        </w:rPr>
        <w:t xml:space="preserve">ubmerged cultures of </w:t>
      </w:r>
      <w:r w:rsidRPr="00BE005D">
        <w:rPr>
          <w:rFonts w:ascii="Arial" w:hAnsi="Arial" w:cs="Arial"/>
          <w:i/>
          <w:sz w:val="22"/>
          <w:szCs w:val="22"/>
          <w:lang w:val="en-US"/>
        </w:rPr>
        <w:t>G. diazotrophicus</w:t>
      </w:r>
      <w:r w:rsidRPr="00BE005D">
        <w:rPr>
          <w:rFonts w:ascii="Arial" w:hAnsi="Arial" w:cs="Arial"/>
          <w:sz w:val="22"/>
          <w:szCs w:val="22"/>
          <w:lang w:val="en-US"/>
        </w:rPr>
        <w:t xml:space="preserve"> were made adding 25 m</w:t>
      </w:r>
      <w:r w:rsidR="008A431B" w:rsidRPr="00BE005D">
        <w:rPr>
          <w:rFonts w:ascii="Arial" w:hAnsi="Arial" w:cs="Arial"/>
          <w:sz w:val="22"/>
          <w:szCs w:val="22"/>
          <w:lang w:val="en-US"/>
        </w:rPr>
        <w:t>L</w:t>
      </w:r>
      <w:r w:rsidRPr="00BE005D">
        <w:rPr>
          <w:rFonts w:ascii="Arial" w:hAnsi="Arial" w:cs="Arial"/>
          <w:sz w:val="22"/>
          <w:szCs w:val="22"/>
          <w:lang w:val="en-US"/>
        </w:rPr>
        <w:t xml:space="preserve"> of the bacterial inoculum to bioreactors (500 mL Erlenmeyer) containing 225m</w:t>
      </w:r>
      <w:r w:rsidR="008A431B" w:rsidRPr="00BE005D">
        <w:rPr>
          <w:rFonts w:ascii="Arial" w:hAnsi="Arial" w:cs="Arial"/>
          <w:sz w:val="22"/>
          <w:szCs w:val="22"/>
          <w:lang w:val="en-US"/>
        </w:rPr>
        <w:t>L</w:t>
      </w:r>
      <w:r w:rsidRPr="00BE005D">
        <w:rPr>
          <w:rFonts w:ascii="Arial" w:hAnsi="Arial" w:cs="Arial"/>
          <w:sz w:val="22"/>
          <w:szCs w:val="22"/>
          <w:lang w:val="en-US"/>
        </w:rPr>
        <w:t xml:space="preserve"> of NBRIP medium (</w:t>
      </w:r>
      <w:proofErr w:type="spellStart"/>
      <w:r w:rsidRPr="00BE005D">
        <w:rPr>
          <w:rFonts w:ascii="Arial" w:hAnsi="Arial" w:cs="Arial"/>
          <w:sz w:val="22"/>
          <w:szCs w:val="22"/>
          <w:lang w:val="en-US"/>
        </w:rPr>
        <w:t>Nautiyal</w:t>
      </w:r>
      <w:proofErr w:type="spellEnd"/>
      <w:r w:rsidRPr="00BE005D">
        <w:rPr>
          <w:rFonts w:ascii="Arial" w:hAnsi="Arial" w:cs="Arial"/>
          <w:sz w:val="22"/>
          <w:szCs w:val="22"/>
          <w:lang w:val="en-US"/>
        </w:rPr>
        <w:t>, 1999) supplemented independently with Ca</w:t>
      </w:r>
      <w:r w:rsidRPr="00BE005D">
        <w:rPr>
          <w:rFonts w:ascii="Arial" w:hAnsi="Arial" w:cs="Arial"/>
          <w:sz w:val="22"/>
          <w:szCs w:val="22"/>
          <w:vertAlign w:val="subscript"/>
          <w:lang w:val="en-US"/>
        </w:rPr>
        <w:t>3</w:t>
      </w:r>
      <w:r w:rsidRPr="00BE005D">
        <w:rPr>
          <w:rFonts w:ascii="Arial" w:hAnsi="Arial" w:cs="Arial"/>
          <w:sz w:val="22"/>
          <w:szCs w:val="22"/>
          <w:lang w:val="en-US"/>
        </w:rPr>
        <w:t>(PO</w:t>
      </w:r>
      <w:r w:rsidRPr="00BE005D">
        <w:rPr>
          <w:rFonts w:ascii="Arial" w:hAnsi="Arial" w:cs="Arial"/>
          <w:sz w:val="22"/>
          <w:szCs w:val="22"/>
          <w:vertAlign w:val="subscript"/>
          <w:lang w:val="en-US"/>
        </w:rPr>
        <w:t>4</w:t>
      </w:r>
      <w:r w:rsidRPr="00BE005D">
        <w:rPr>
          <w:rFonts w:ascii="Arial" w:hAnsi="Arial" w:cs="Arial"/>
          <w:sz w:val="22"/>
          <w:szCs w:val="22"/>
          <w:lang w:val="en-US"/>
        </w:rPr>
        <w:t>)</w:t>
      </w:r>
      <w:r w:rsidRPr="00BE005D">
        <w:rPr>
          <w:rFonts w:ascii="Arial" w:hAnsi="Arial" w:cs="Arial"/>
          <w:sz w:val="22"/>
          <w:szCs w:val="22"/>
          <w:vertAlign w:val="subscript"/>
          <w:lang w:val="en-US"/>
        </w:rPr>
        <w:t>2</w:t>
      </w:r>
      <w:r w:rsidRPr="00BE005D">
        <w:rPr>
          <w:rFonts w:ascii="Arial" w:hAnsi="Arial" w:cs="Arial"/>
          <w:sz w:val="22"/>
          <w:szCs w:val="22"/>
          <w:lang w:val="en-US"/>
        </w:rPr>
        <w:t>, AlPO</w:t>
      </w:r>
      <w:r w:rsidRPr="00BE005D">
        <w:rPr>
          <w:rFonts w:ascii="Arial" w:hAnsi="Arial" w:cs="Arial"/>
          <w:sz w:val="22"/>
          <w:szCs w:val="22"/>
          <w:vertAlign w:val="subscript"/>
          <w:lang w:val="en-US"/>
        </w:rPr>
        <w:t>4</w:t>
      </w:r>
      <w:r w:rsidRPr="00BE005D">
        <w:rPr>
          <w:rFonts w:ascii="Arial" w:hAnsi="Arial" w:cs="Arial"/>
          <w:sz w:val="22"/>
          <w:szCs w:val="22"/>
          <w:lang w:val="en-US"/>
        </w:rPr>
        <w:t xml:space="preserve"> and FePO</w:t>
      </w:r>
      <w:r w:rsidRPr="00BE005D">
        <w:rPr>
          <w:rFonts w:ascii="Arial" w:hAnsi="Arial" w:cs="Arial"/>
          <w:sz w:val="22"/>
          <w:szCs w:val="22"/>
          <w:vertAlign w:val="subscript"/>
          <w:lang w:val="en-US"/>
        </w:rPr>
        <w:t>4</w:t>
      </w:r>
      <w:r w:rsidRPr="00BE005D">
        <w:rPr>
          <w:rFonts w:ascii="Arial" w:hAnsi="Arial" w:cs="Arial"/>
          <w:sz w:val="22"/>
          <w:szCs w:val="22"/>
          <w:lang w:val="en-US"/>
        </w:rPr>
        <w:t>. The cultures were incubated for 10 days at 30 °C and 150 rpm in an orbital shaker (</w:t>
      </w:r>
      <w:proofErr w:type="spellStart"/>
      <w:r w:rsidRPr="00BE005D">
        <w:rPr>
          <w:rFonts w:ascii="Arial" w:hAnsi="Arial" w:cs="Arial"/>
          <w:sz w:val="22"/>
          <w:szCs w:val="22"/>
          <w:lang w:val="en-US"/>
        </w:rPr>
        <w:t>Actum</w:t>
      </w:r>
      <w:proofErr w:type="spellEnd"/>
      <w:r w:rsidRPr="00BE005D">
        <w:rPr>
          <w:rFonts w:ascii="Arial" w:hAnsi="Arial" w:cs="Arial"/>
          <w:sz w:val="22"/>
          <w:szCs w:val="22"/>
          <w:lang w:val="en-US"/>
        </w:rPr>
        <w:t xml:space="preserve">, Colombia). Daily samplings were performed to evaluate pH, culture purity and to quantify soluble P. The soluble P in submerged cultures was determined by the </w:t>
      </w:r>
      <w:proofErr w:type="spellStart"/>
      <w:r w:rsidRPr="00BE005D">
        <w:rPr>
          <w:rFonts w:ascii="Arial" w:hAnsi="Arial" w:cs="Arial"/>
          <w:sz w:val="22"/>
          <w:szCs w:val="22"/>
          <w:lang w:val="en-US"/>
        </w:rPr>
        <w:t>phosphomolybdenum</w:t>
      </w:r>
      <w:proofErr w:type="spellEnd"/>
      <w:r w:rsidRPr="00BE005D">
        <w:rPr>
          <w:rFonts w:ascii="Arial" w:hAnsi="Arial" w:cs="Arial"/>
          <w:sz w:val="22"/>
          <w:szCs w:val="22"/>
          <w:lang w:val="en-US"/>
        </w:rPr>
        <w:t xml:space="preserve"> blue method, according to the methodology proposed by Murphy and Riley (1962) and modified by </w:t>
      </w:r>
      <w:proofErr w:type="spellStart"/>
      <w:r w:rsidRPr="00BE005D">
        <w:rPr>
          <w:rFonts w:ascii="Arial" w:hAnsi="Arial" w:cs="Arial"/>
          <w:sz w:val="22"/>
          <w:szCs w:val="22"/>
          <w:lang w:val="en-US"/>
        </w:rPr>
        <w:t>Deaker</w:t>
      </w:r>
      <w:proofErr w:type="spellEnd"/>
      <w:r w:rsidRPr="00BE005D">
        <w:rPr>
          <w:rFonts w:ascii="Arial" w:hAnsi="Arial" w:cs="Arial"/>
          <w:sz w:val="22"/>
          <w:szCs w:val="22"/>
          <w:lang w:val="en-US"/>
        </w:rPr>
        <w:t xml:space="preserve"> </w:t>
      </w:r>
      <w:r w:rsidRPr="00BE005D">
        <w:rPr>
          <w:rFonts w:ascii="Arial" w:hAnsi="Arial" w:cs="Arial"/>
          <w:i/>
          <w:sz w:val="22"/>
          <w:szCs w:val="22"/>
          <w:lang w:val="en-US"/>
        </w:rPr>
        <w:t>et al</w:t>
      </w:r>
      <w:r w:rsidRPr="00BE005D">
        <w:rPr>
          <w:rFonts w:ascii="Arial" w:hAnsi="Arial" w:cs="Arial"/>
          <w:iCs/>
          <w:sz w:val="22"/>
          <w:szCs w:val="22"/>
          <w:lang w:val="en-US"/>
        </w:rPr>
        <w:t>.</w:t>
      </w:r>
      <w:r w:rsidR="007C02AB" w:rsidRPr="00BE005D">
        <w:rPr>
          <w:rFonts w:ascii="Arial" w:hAnsi="Arial" w:cs="Arial"/>
          <w:iCs/>
          <w:sz w:val="22"/>
          <w:szCs w:val="22"/>
          <w:lang w:val="en-US"/>
        </w:rPr>
        <w:t>,</w:t>
      </w:r>
      <w:r w:rsidRPr="00BE005D">
        <w:rPr>
          <w:rFonts w:ascii="Arial" w:hAnsi="Arial" w:cs="Arial"/>
          <w:sz w:val="22"/>
          <w:szCs w:val="22"/>
          <w:lang w:val="en-US"/>
        </w:rPr>
        <w:t xml:space="preserve"> (2011), allowing the measurement of the orthophosphate released as product of P solubilization in the culture medium (Spectrophotometer</w:t>
      </w:r>
      <w:r w:rsidRPr="00BE005D">
        <w:rPr>
          <w:rFonts w:ascii="Arial" w:hAnsi="Arial" w:cs="Arial"/>
          <w:b/>
          <w:bCs/>
          <w:sz w:val="22"/>
          <w:szCs w:val="22"/>
          <w:lang w:val="en-US"/>
        </w:rPr>
        <w:t xml:space="preserve">, </w:t>
      </w:r>
      <w:r w:rsidRPr="00BE005D">
        <w:rPr>
          <w:rFonts w:ascii="Arial" w:hAnsi="Arial" w:cs="Arial"/>
          <w:sz w:val="22"/>
          <w:szCs w:val="22"/>
          <w:lang w:val="en-US"/>
        </w:rPr>
        <w:t>Thermo Bio 5, USA). The calculation was performed using a calibration curve with KH</w:t>
      </w:r>
      <w:r w:rsidRPr="00BE005D">
        <w:rPr>
          <w:rFonts w:ascii="Arial" w:hAnsi="Arial" w:cs="Arial"/>
          <w:sz w:val="22"/>
          <w:szCs w:val="22"/>
          <w:vertAlign w:val="subscript"/>
          <w:lang w:val="en-US"/>
        </w:rPr>
        <w:t>2</w:t>
      </w:r>
      <w:r w:rsidRPr="00BE005D">
        <w:rPr>
          <w:rFonts w:ascii="Arial" w:hAnsi="Arial" w:cs="Arial"/>
          <w:sz w:val="22"/>
          <w:szCs w:val="22"/>
          <w:lang w:val="en-US"/>
        </w:rPr>
        <w:t>PO</w:t>
      </w:r>
      <w:r w:rsidRPr="00BE005D">
        <w:rPr>
          <w:rFonts w:ascii="Arial" w:hAnsi="Arial" w:cs="Arial"/>
          <w:sz w:val="22"/>
          <w:szCs w:val="22"/>
          <w:vertAlign w:val="subscript"/>
          <w:lang w:val="en-US"/>
        </w:rPr>
        <w:t>4</w:t>
      </w:r>
      <w:r w:rsidRPr="00BE005D">
        <w:rPr>
          <w:rFonts w:ascii="Arial" w:hAnsi="Arial" w:cs="Arial"/>
          <w:color w:val="FF0000"/>
          <w:sz w:val="22"/>
          <w:szCs w:val="22"/>
          <w:lang w:val="en-US"/>
        </w:rPr>
        <w:t xml:space="preserve"> </w:t>
      </w:r>
      <w:r w:rsidRPr="00BE005D">
        <w:rPr>
          <w:rFonts w:ascii="Arial" w:hAnsi="Arial" w:cs="Arial"/>
          <w:sz w:val="22"/>
          <w:szCs w:val="22"/>
          <w:lang w:val="en-US"/>
        </w:rPr>
        <w:t>at concentrations of 0 to 200 mg/</w:t>
      </w:r>
      <w:r w:rsidR="008A431B" w:rsidRPr="00BE005D">
        <w:rPr>
          <w:rFonts w:ascii="Arial" w:hAnsi="Arial" w:cs="Arial"/>
          <w:sz w:val="22"/>
          <w:szCs w:val="22"/>
          <w:lang w:val="en-US"/>
        </w:rPr>
        <w:t>L</w:t>
      </w:r>
      <w:r w:rsidRPr="00BE005D">
        <w:rPr>
          <w:rFonts w:ascii="Arial" w:hAnsi="Arial" w:cs="Arial"/>
          <w:sz w:val="22"/>
          <w:szCs w:val="22"/>
          <w:lang w:val="en-US"/>
        </w:rPr>
        <w:t xml:space="preserve">. A linear regression analysis was performed, and the </w:t>
      </w:r>
      <w:r w:rsidR="00784CB8" w:rsidRPr="00BE005D">
        <w:rPr>
          <w:rFonts w:ascii="Arial" w:hAnsi="Arial" w:cs="Arial"/>
          <w:sz w:val="22"/>
          <w:szCs w:val="22"/>
          <w:lang w:val="en-US"/>
        </w:rPr>
        <w:t>E</w:t>
      </w:r>
      <w:r w:rsidRPr="00BE005D">
        <w:rPr>
          <w:rFonts w:ascii="Arial" w:hAnsi="Arial" w:cs="Arial"/>
          <w:sz w:val="22"/>
          <w:szCs w:val="22"/>
          <w:lang w:val="en-US"/>
        </w:rPr>
        <w:t>quation</w:t>
      </w:r>
      <w:r w:rsidR="00273C9D" w:rsidRPr="00BE005D">
        <w:rPr>
          <w:rFonts w:ascii="Arial" w:hAnsi="Arial" w:cs="Arial"/>
          <w:sz w:val="22"/>
          <w:szCs w:val="22"/>
          <w:lang w:val="en-US"/>
        </w:rPr>
        <w:t xml:space="preserve"> 2</w:t>
      </w:r>
      <w:r w:rsidRPr="00BE005D">
        <w:rPr>
          <w:rFonts w:ascii="Arial" w:hAnsi="Arial" w:cs="Arial"/>
          <w:sz w:val="22"/>
          <w:szCs w:val="22"/>
          <w:lang w:val="en-US"/>
        </w:rPr>
        <w:t xml:space="preserve"> was obtained to calculate the concentration of soluble, where </w:t>
      </w:r>
      <w:r w:rsidRPr="00BE005D">
        <w:rPr>
          <w:rFonts w:ascii="Arial" w:hAnsi="Arial" w:cs="Arial"/>
          <w:i/>
          <w:sz w:val="22"/>
          <w:szCs w:val="22"/>
          <w:lang w:val="en-US"/>
        </w:rPr>
        <w:t>y</w:t>
      </w:r>
      <w:r w:rsidRPr="00BE005D">
        <w:rPr>
          <w:rFonts w:ascii="Arial" w:hAnsi="Arial" w:cs="Arial"/>
          <w:sz w:val="22"/>
          <w:szCs w:val="22"/>
          <w:lang w:val="en-US"/>
        </w:rPr>
        <w:t xml:space="preserve"> is the absorbance and </w:t>
      </w:r>
      <w:r w:rsidRPr="00BE005D">
        <w:rPr>
          <w:rFonts w:ascii="Arial" w:hAnsi="Arial" w:cs="Arial"/>
          <w:i/>
          <w:sz w:val="22"/>
          <w:szCs w:val="22"/>
          <w:lang w:val="en-US"/>
        </w:rPr>
        <w:t>x</w:t>
      </w:r>
      <w:r w:rsidRPr="00BE005D">
        <w:rPr>
          <w:rFonts w:ascii="Arial" w:hAnsi="Arial" w:cs="Arial"/>
          <w:sz w:val="22"/>
          <w:szCs w:val="22"/>
          <w:lang w:val="en-US"/>
        </w:rPr>
        <w:t xml:space="preserve"> is the concentration of soluble P.</w:t>
      </w:r>
    </w:p>
    <w:p w14:paraId="5230D95F" w14:textId="370FF28B" w:rsidR="00273C9D" w:rsidRPr="00BE005D" w:rsidRDefault="00273C9D" w:rsidP="00E041F5">
      <w:pPr>
        <w:jc w:val="both"/>
        <w:rPr>
          <w:rFonts w:ascii="Arial" w:hAnsi="Arial" w:cs="Arial"/>
          <w:sz w:val="22"/>
          <w:szCs w:val="22"/>
          <w:lang w:val="en-US"/>
        </w:rPr>
      </w:pPr>
    </w:p>
    <w:p w14:paraId="79D8A0F3" w14:textId="4E780188" w:rsidR="00273C9D" w:rsidRPr="00BE005D" w:rsidRDefault="00273C9D" w:rsidP="00E041F5">
      <w:pPr>
        <w:jc w:val="both"/>
        <w:rPr>
          <w:rFonts w:ascii="Arial" w:hAnsi="Arial" w:cs="Arial"/>
          <w:sz w:val="22"/>
          <w:szCs w:val="22"/>
          <w:lang w:val="en-US"/>
        </w:rPr>
      </w:pPr>
      <m:oMathPara>
        <m:oMathParaPr>
          <m:jc m:val="left"/>
        </m:oMathParaPr>
        <m:oMath>
          <m:r>
            <w:rPr>
              <w:rFonts w:ascii="Cambria Math" w:hAnsi="Cambria Math" w:cs="Arial"/>
              <w:sz w:val="22"/>
              <w:szCs w:val="22"/>
              <w:lang w:val="en-US"/>
            </w:rPr>
            <m:t>y=0,0075x+0,057</m:t>
          </m:r>
          <m:r>
            <w:rPr>
              <w:rFonts w:ascii="Cambria Math" w:hAnsi="Cambria Math" w:cs="Arial"/>
              <w:sz w:val="22"/>
              <w:szCs w:val="22"/>
              <w:lang w:val="en-US"/>
            </w:rPr>
            <m:t>7</m:t>
          </m:r>
        </m:oMath>
      </m:oMathPara>
    </w:p>
    <w:p w14:paraId="16C7DE01" w14:textId="6DC9AB48" w:rsidR="00273C9D" w:rsidRPr="00BE005D" w:rsidRDefault="00273C9D" w:rsidP="00132C13">
      <w:pPr>
        <w:ind w:left="1440" w:firstLine="720"/>
        <w:jc w:val="right"/>
        <w:rPr>
          <w:rFonts w:ascii="Arial" w:hAnsi="Arial" w:cs="Arial"/>
          <w:bCs/>
          <w:sz w:val="22"/>
          <w:szCs w:val="22"/>
          <w:lang w:val="en-US"/>
        </w:rPr>
      </w:pPr>
      <w:r w:rsidRPr="00BE005D">
        <w:rPr>
          <w:rFonts w:ascii="Arial" w:hAnsi="Arial" w:cs="Arial"/>
          <w:bCs/>
          <w:sz w:val="22"/>
          <w:szCs w:val="22"/>
          <w:lang w:val="en-US"/>
        </w:rPr>
        <w:t>(Eq. 2)</w:t>
      </w:r>
    </w:p>
    <w:p w14:paraId="53E52D94" w14:textId="77777777" w:rsidR="00C0609D" w:rsidRPr="00BE005D" w:rsidRDefault="00C0609D" w:rsidP="00273C9D">
      <w:pPr>
        <w:jc w:val="right"/>
        <w:rPr>
          <w:rFonts w:ascii="Arial" w:hAnsi="Arial" w:cs="Arial"/>
          <w:b/>
          <w:sz w:val="22"/>
          <w:szCs w:val="22"/>
          <w:lang w:val="en-US"/>
        </w:rPr>
      </w:pPr>
    </w:p>
    <w:p w14:paraId="3654E7D1" w14:textId="425F0F92" w:rsidR="00E041F5" w:rsidRPr="00BE005D" w:rsidRDefault="00E041F5" w:rsidP="00E041F5">
      <w:pPr>
        <w:jc w:val="both"/>
        <w:rPr>
          <w:rFonts w:ascii="Arial" w:hAnsi="Arial" w:cs="Arial"/>
          <w:b/>
          <w:sz w:val="22"/>
          <w:szCs w:val="22"/>
          <w:lang w:val="en-US"/>
        </w:rPr>
      </w:pPr>
      <w:r w:rsidRPr="00BE005D">
        <w:rPr>
          <w:rFonts w:ascii="Arial" w:hAnsi="Arial" w:cs="Arial"/>
          <w:b/>
          <w:sz w:val="22"/>
          <w:szCs w:val="22"/>
          <w:lang w:val="en-US"/>
        </w:rPr>
        <w:t xml:space="preserve">Plant growth promotion in </w:t>
      </w:r>
      <w:r w:rsidRPr="00BE005D">
        <w:rPr>
          <w:rFonts w:ascii="Arial" w:hAnsi="Arial" w:cs="Arial"/>
          <w:b/>
          <w:i/>
          <w:sz w:val="22"/>
          <w:szCs w:val="22"/>
          <w:lang w:val="en-US"/>
        </w:rPr>
        <w:t xml:space="preserve">Solanum </w:t>
      </w:r>
      <w:proofErr w:type="spellStart"/>
      <w:r w:rsidRPr="00BE005D">
        <w:rPr>
          <w:rFonts w:ascii="Arial" w:hAnsi="Arial" w:cs="Arial"/>
          <w:b/>
          <w:i/>
          <w:sz w:val="22"/>
          <w:szCs w:val="22"/>
          <w:lang w:val="en-US"/>
        </w:rPr>
        <w:t>lycopersicum</w:t>
      </w:r>
      <w:proofErr w:type="spellEnd"/>
      <w:r w:rsidRPr="00BE005D">
        <w:rPr>
          <w:rFonts w:ascii="Arial" w:hAnsi="Arial" w:cs="Arial"/>
          <w:b/>
          <w:i/>
          <w:sz w:val="22"/>
          <w:szCs w:val="22"/>
          <w:lang w:val="en-US"/>
        </w:rPr>
        <w:t xml:space="preserve"> </w:t>
      </w:r>
      <w:r w:rsidRPr="00BE005D">
        <w:rPr>
          <w:rFonts w:ascii="Arial" w:hAnsi="Arial" w:cs="Arial"/>
          <w:b/>
          <w:sz w:val="22"/>
          <w:szCs w:val="22"/>
          <w:lang w:val="en-US"/>
        </w:rPr>
        <w:t>L.</w:t>
      </w:r>
    </w:p>
    <w:p w14:paraId="4E6A07F9" w14:textId="77777777" w:rsidR="00C0609D" w:rsidRPr="00BE005D" w:rsidRDefault="00C0609D" w:rsidP="00E041F5">
      <w:pPr>
        <w:jc w:val="both"/>
        <w:rPr>
          <w:rFonts w:ascii="Arial" w:hAnsi="Arial" w:cs="Arial"/>
          <w:i/>
          <w:sz w:val="22"/>
          <w:szCs w:val="22"/>
          <w:lang w:val="en-US"/>
        </w:rPr>
      </w:pPr>
    </w:p>
    <w:p w14:paraId="07741A16" w14:textId="03CCDBE4" w:rsidR="00E041F5" w:rsidRPr="00BE005D" w:rsidRDefault="00E041F5" w:rsidP="00E041F5">
      <w:pPr>
        <w:jc w:val="both"/>
        <w:rPr>
          <w:rFonts w:ascii="Arial" w:hAnsi="Arial" w:cs="Arial"/>
          <w:b/>
          <w:sz w:val="22"/>
          <w:szCs w:val="22"/>
          <w:lang w:val="en-US"/>
        </w:rPr>
      </w:pPr>
      <w:r w:rsidRPr="00BE005D">
        <w:rPr>
          <w:rFonts w:ascii="Arial" w:hAnsi="Arial" w:cs="Arial"/>
          <w:i/>
          <w:sz w:val="22"/>
          <w:szCs w:val="22"/>
          <w:lang w:val="en-US"/>
        </w:rPr>
        <w:t xml:space="preserve">S. </w:t>
      </w:r>
      <w:proofErr w:type="spellStart"/>
      <w:r w:rsidRPr="00BE005D">
        <w:rPr>
          <w:rFonts w:ascii="Arial" w:hAnsi="Arial" w:cs="Arial"/>
          <w:i/>
          <w:sz w:val="22"/>
          <w:szCs w:val="22"/>
          <w:lang w:val="en-US"/>
        </w:rPr>
        <w:t>lycopersicum</w:t>
      </w:r>
      <w:proofErr w:type="spellEnd"/>
      <w:r w:rsidRPr="00BE005D">
        <w:rPr>
          <w:rFonts w:ascii="Arial" w:hAnsi="Arial" w:cs="Arial"/>
          <w:sz w:val="22"/>
          <w:szCs w:val="22"/>
          <w:lang w:val="en-US"/>
        </w:rPr>
        <w:t xml:space="preserve"> response to inoculation with </w:t>
      </w:r>
      <w:r w:rsidRPr="00BE005D">
        <w:rPr>
          <w:rFonts w:ascii="Arial" w:hAnsi="Arial" w:cs="Arial"/>
          <w:i/>
          <w:sz w:val="22"/>
          <w:szCs w:val="22"/>
          <w:lang w:val="en-US"/>
        </w:rPr>
        <w:t>G. diazotrophicus</w:t>
      </w:r>
      <w:r w:rsidRPr="00BE005D">
        <w:rPr>
          <w:rFonts w:ascii="Arial" w:hAnsi="Arial" w:cs="Arial"/>
          <w:sz w:val="22"/>
          <w:szCs w:val="22"/>
          <w:lang w:val="en-US"/>
        </w:rPr>
        <w:t xml:space="preserve"> was evaluated in seedling stage. The </w:t>
      </w:r>
      <w:proofErr w:type="spellStart"/>
      <w:r w:rsidRPr="00BE005D">
        <w:rPr>
          <w:rFonts w:ascii="Arial" w:hAnsi="Arial" w:cs="Arial"/>
          <w:sz w:val="22"/>
          <w:szCs w:val="22"/>
          <w:lang w:val="en-US"/>
        </w:rPr>
        <w:t>preinoculum</w:t>
      </w:r>
      <w:proofErr w:type="spellEnd"/>
      <w:r w:rsidRPr="00BE005D">
        <w:rPr>
          <w:rFonts w:ascii="Arial" w:hAnsi="Arial" w:cs="Arial"/>
          <w:sz w:val="22"/>
          <w:szCs w:val="22"/>
          <w:lang w:val="en-US"/>
        </w:rPr>
        <w:t xml:space="preserve"> was prepared in DYGS medium and the inoculum in LGI-P medium (Cavalcante and </w:t>
      </w:r>
      <w:proofErr w:type="spellStart"/>
      <w:r w:rsidRPr="00BE005D">
        <w:rPr>
          <w:rFonts w:ascii="Arial" w:hAnsi="Arial" w:cs="Arial"/>
          <w:sz w:val="22"/>
          <w:szCs w:val="22"/>
          <w:lang w:val="en-US"/>
        </w:rPr>
        <w:t>Döbereiner</w:t>
      </w:r>
      <w:proofErr w:type="spellEnd"/>
      <w:r w:rsidRPr="00BE005D">
        <w:rPr>
          <w:rFonts w:ascii="Arial" w:hAnsi="Arial" w:cs="Arial"/>
          <w:sz w:val="22"/>
          <w:szCs w:val="22"/>
          <w:lang w:val="en-US"/>
        </w:rPr>
        <w:t xml:space="preserve"> 1988) as described by Restrepo </w:t>
      </w:r>
      <w:r w:rsidRPr="00BE005D">
        <w:rPr>
          <w:rFonts w:ascii="Arial" w:hAnsi="Arial" w:cs="Arial"/>
          <w:i/>
          <w:iCs/>
          <w:sz w:val="22"/>
          <w:szCs w:val="22"/>
          <w:lang w:val="en-US"/>
        </w:rPr>
        <w:t>et al</w:t>
      </w:r>
      <w:r w:rsidRPr="00BE005D">
        <w:rPr>
          <w:rFonts w:ascii="Arial" w:hAnsi="Arial" w:cs="Arial"/>
          <w:sz w:val="22"/>
          <w:szCs w:val="22"/>
          <w:lang w:val="en-US"/>
        </w:rPr>
        <w:t>.</w:t>
      </w:r>
      <w:r w:rsidR="00CD5029" w:rsidRPr="00BE005D">
        <w:rPr>
          <w:rFonts w:ascii="Arial" w:hAnsi="Arial" w:cs="Arial"/>
          <w:sz w:val="22"/>
          <w:szCs w:val="22"/>
          <w:lang w:val="en-US"/>
        </w:rPr>
        <w:t>,</w:t>
      </w:r>
      <w:r w:rsidRPr="00BE005D">
        <w:rPr>
          <w:rFonts w:ascii="Arial" w:hAnsi="Arial" w:cs="Arial"/>
          <w:sz w:val="22"/>
          <w:szCs w:val="22"/>
          <w:lang w:val="en-US"/>
        </w:rPr>
        <w:t xml:space="preserve"> (2017). Seeds of the </w:t>
      </w:r>
      <w:proofErr w:type="spellStart"/>
      <w:r w:rsidRPr="00BE005D">
        <w:rPr>
          <w:rFonts w:ascii="Arial" w:hAnsi="Arial" w:cs="Arial"/>
          <w:sz w:val="22"/>
          <w:szCs w:val="22"/>
          <w:lang w:val="en-US"/>
        </w:rPr>
        <w:t>Torrano</w:t>
      </w:r>
      <w:proofErr w:type="spellEnd"/>
      <w:r w:rsidRPr="00BE005D">
        <w:rPr>
          <w:rFonts w:ascii="Arial" w:hAnsi="Arial" w:cs="Arial"/>
          <w:color w:val="000000" w:themeColor="text1"/>
          <w:sz w:val="22"/>
          <w:szCs w:val="22"/>
          <w:lang w:val="en-US"/>
        </w:rPr>
        <w:t>®</w:t>
      </w:r>
      <w:r w:rsidRPr="00BE005D">
        <w:rPr>
          <w:rFonts w:ascii="Arial" w:hAnsi="Arial" w:cs="Arial"/>
          <w:sz w:val="22"/>
          <w:szCs w:val="22"/>
          <w:lang w:val="en-US"/>
        </w:rPr>
        <w:t xml:space="preserve"> commercial tomato genotype were used, which were arranged in 72 cores. Sterile soil was used as a substrate. The experimental design had the following variables: one tomato genotype, three isolates of </w:t>
      </w:r>
      <w:r w:rsidRPr="00BE005D">
        <w:rPr>
          <w:rFonts w:ascii="Arial" w:hAnsi="Arial" w:cs="Arial"/>
          <w:i/>
          <w:sz w:val="22"/>
          <w:szCs w:val="22"/>
          <w:lang w:val="en-US"/>
        </w:rPr>
        <w:t xml:space="preserve">G. </w:t>
      </w:r>
      <w:r w:rsidRPr="00BE005D">
        <w:rPr>
          <w:rFonts w:ascii="Arial" w:hAnsi="Arial" w:cs="Arial"/>
          <w:i/>
          <w:sz w:val="22"/>
          <w:szCs w:val="22"/>
          <w:lang w:val="en-US"/>
        </w:rPr>
        <w:lastRenderedPageBreak/>
        <w:t>diazotrophicus</w:t>
      </w:r>
      <w:r w:rsidRPr="00BE005D">
        <w:rPr>
          <w:rFonts w:ascii="Arial" w:hAnsi="Arial" w:cs="Arial"/>
          <w:sz w:val="22"/>
          <w:szCs w:val="22"/>
          <w:lang w:val="en-US"/>
        </w:rPr>
        <w:t xml:space="preserve"> (two native isolates and an ATCC strain at a dose of 5 m</w:t>
      </w:r>
      <w:r w:rsidR="005301B3" w:rsidRPr="00BE005D">
        <w:rPr>
          <w:rFonts w:ascii="Arial" w:hAnsi="Arial" w:cs="Arial"/>
          <w:sz w:val="22"/>
          <w:szCs w:val="22"/>
          <w:lang w:val="en-US"/>
        </w:rPr>
        <w:t>L</w:t>
      </w:r>
      <w:r w:rsidRPr="00BE005D">
        <w:rPr>
          <w:rFonts w:ascii="Arial" w:hAnsi="Arial" w:cs="Arial"/>
          <w:sz w:val="22"/>
          <w:szCs w:val="22"/>
          <w:lang w:val="en-US"/>
        </w:rPr>
        <w:t>/</w:t>
      </w:r>
      <w:r w:rsidR="005301B3" w:rsidRPr="00BE005D">
        <w:rPr>
          <w:rFonts w:ascii="Arial" w:hAnsi="Arial" w:cs="Arial"/>
          <w:sz w:val="22"/>
          <w:szCs w:val="22"/>
          <w:lang w:val="en-US"/>
        </w:rPr>
        <w:t>L</w:t>
      </w:r>
      <w:r w:rsidRPr="00BE005D">
        <w:rPr>
          <w:rFonts w:ascii="Arial" w:hAnsi="Arial" w:cs="Arial"/>
          <w:sz w:val="22"/>
          <w:szCs w:val="22"/>
          <w:lang w:val="en-US"/>
        </w:rPr>
        <w:t xml:space="preserve"> water), one absolute control (without bacteria) and two doses of P (without phosphorus and with </w:t>
      </w:r>
      <w:r w:rsidRPr="00BE005D">
        <w:rPr>
          <w:rFonts w:ascii="Arial" w:hAnsi="Arial" w:cs="Arial"/>
          <w:color w:val="222222"/>
          <w:sz w:val="22"/>
          <w:szCs w:val="22"/>
          <w:shd w:val="clear" w:color="auto" w:fill="FFFFFF"/>
          <w:lang w:val="en-US"/>
        </w:rPr>
        <w:t>H</w:t>
      </w:r>
      <w:r w:rsidRPr="00BE005D">
        <w:rPr>
          <w:rFonts w:ascii="Arial" w:hAnsi="Arial" w:cs="Arial"/>
          <w:color w:val="222222"/>
          <w:sz w:val="22"/>
          <w:szCs w:val="22"/>
          <w:shd w:val="clear" w:color="auto" w:fill="FFFFFF"/>
          <w:vertAlign w:val="subscript"/>
          <w:lang w:val="en-US"/>
        </w:rPr>
        <w:t>3</w:t>
      </w:r>
      <w:r w:rsidRPr="00BE005D">
        <w:rPr>
          <w:rFonts w:ascii="Arial" w:hAnsi="Arial" w:cs="Arial"/>
          <w:color w:val="222222"/>
          <w:sz w:val="22"/>
          <w:szCs w:val="22"/>
          <w:shd w:val="clear" w:color="auto" w:fill="FFFFFF"/>
          <w:lang w:val="en-US"/>
        </w:rPr>
        <w:t>PO</w:t>
      </w:r>
      <w:r w:rsidRPr="00BE005D">
        <w:rPr>
          <w:rFonts w:ascii="Arial" w:hAnsi="Arial" w:cs="Arial"/>
          <w:color w:val="222222"/>
          <w:sz w:val="22"/>
          <w:szCs w:val="22"/>
          <w:shd w:val="clear" w:color="auto" w:fill="FFFFFF"/>
          <w:vertAlign w:val="subscript"/>
          <w:lang w:val="en-US"/>
        </w:rPr>
        <w:t>4</w:t>
      </w:r>
      <w:r w:rsidRPr="00BE005D">
        <w:rPr>
          <w:rFonts w:ascii="Arial" w:hAnsi="Arial" w:cs="Arial"/>
          <w:sz w:val="22"/>
          <w:szCs w:val="22"/>
          <w:lang w:val="en-US"/>
        </w:rPr>
        <w:t xml:space="preserve"> [15ppm]), for a total of eight treatments. Each treatment consisted of 72 seeds at planting time (four replicates with 18 seeds each). The trays were kept under </w:t>
      </w:r>
      <w:proofErr w:type="spellStart"/>
      <w:r w:rsidRPr="00BE005D">
        <w:rPr>
          <w:rFonts w:ascii="Arial" w:hAnsi="Arial" w:cs="Arial"/>
          <w:sz w:val="22"/>
          <w:szCs w:val="22"/>
          <w:lang w:val="en-US"/>
        </w:rPr>
        <w:t>semicontrolled</w:t>
      </w:r>
      <w:proofErr w:type="spellEnd"/>
      <w:r w:rsidRPr="00BE005D">
        <w:rPr>
          <w:rFonts w:ascii="Arial" w:hAnsi="Arial" w:cs="Arial"/>
          <w:sz w:val="22"/>
          <w:szCs w:val="22"/>
          <w:lang w:val="en-US"/>
        </w:rPr>
        <w:t xml:space="preserve"> conditions at 23 ± 3 °C in a germinator with plastic cover with 380 nm UV filter, Type </w:t>
      </w:r>
      <w:proofErr w:type="spellStart"/>
      <w:r w:rsidRPr="00BE005D">
        <w:rPr>
          <w:rFonts w:ascii="Arial" w:hAnsi="Arial" w:cs="Arial"/>
          <w:sz w:val="22"/>
          <w:szCs w:val="22"/>
          <w:lang w:val="en-US"/>
        </w:rPr>
        <w:t>Agroclear</w:t>
      </w:r>
      <w:proofErr w:type="spellEnd"/>
      <w:r w:rsidRPr="00BE005D">
        <w:rPr>
          <w:rFonts w:ascii="Arial" w:hAnsi="Arial" w:cs="Arial"/>
          <w:sz w:val="22"/>
          <w:szCs w:val="22"/>
          <w:lang w:val="en-US"/>
        </w:rPr>
        <w:t xml:space="preserve"> X®.</w:t>
      </w:r>
    </w:p>
    <w:p w14:paraId="037D7E4A" w14:textId="77777777" w:rsidR="00231781" w:rsidRPr="00BE005D" w:rsidRDefault="00231781" w:rsidP="00E041F5">
      <w:pPr>
        <w:jc w:val="both"/>
        <w:rPr>
          <w:rFonts w:ascii="Arial" w:hAnsi="Arial" w:cs="Arial"/>
          <w:sz w:val="22"/>
          <w:szCs w:val="22"/>
          <w:lang w:val="en-US"/>
        </w:rPr>
      </w:pPr>
    </w:p>
    <w:p w14:paraId="371FE225" w14:textId="6F0DE7AB" w:rsidR="00E041F5" w:rsidRPr="00BE005D" w:rsidRDefault="00E041F5" w:rsidP="00E041F5">
      <w:pPr>
        <w:jc w:val="both"/>
        <w:rPr>
          <w:rFonts w:ascii="Arial" w:hAnsi="Arial" w:cs="Arial"/>
          <w:sz w:val="22"/>
          <w:szCs w:val="22"/>
          <w:lang w:val="en-US"/>
        </w:rPr>
      </w:pPr>
      <w:r w:rsidRPr="00BE005D">
        <w:rPr>
          <w:rFonts w:ascii="Arial" w:hAnsi="Arial" w:cs="Arial"/>
          <w:sz w:val="22"/>
          <w:szCs w:val="22"/>
          <w:lang w:val="en-US"/>
        </w:rPr>
        <w:t xml:space="preserve">During the 38-day duration of this stage, data about physiological characteristics of the seedlings (cotyledons height (mm) completely unfolded cotyledons (days) and formation of completely unfolded first, second and third true leaves (days)) were obtained. At the end of the seedling stage, an estimate of physiological variables </w:t>
      </w:r>
      <w:r w:rsidRPr="00BE005D">
        <w:rPr>
          <w:rFonts w:ascii="Arial" w:hAnsi="Arial" w:cs="Arial"/>
          <w:iCs/>
          <w:sz w:val="22"/>
          <w:szCs w:val="22"/>
          <w:lang w:val="en-US"/>
        </w:rPr>
        <w:t xml:space="preserve">total fresh mass, aerial and root mass in grams was </w:t>
      </w:r>
      <w:r w:rsidRPr="00BE005D">
        <w:rPr>
          <w:rFonts w:ascii="Arial" w:hAnsi="Arial" w:cs="Arial"/>
          <w:sz w:val="22"/>
          <w:szCs w:val="22"/>
          <w:lang w:val="en-US"/>
        </w:rPr>
        <w:t xml:space="preserve">made according to the scale developed by </w:t>
      </w:r>
      <w:proofErr w:type="spellStart"/>
      <w:r w:rsidRPr="00BE005D">
        <w:rPr>
          <w:rFonts w:ascii="Arial" w:hAnsi="Arial" w:cs="Arial"/>
          <w:sz w:val="22"/>
          <w:szCs w:val="22"/>
          <w:lang w:val="en-US"/>
        </w:rPr>
        <w:t>Bleiholder</w:t>
      </w:r>
      <w:proofErr w:type="spellEnd"/>
      <w:r w:rsidRPr="00BE005D">
        <w:rPr>
          <w:rFonts w:ascii="Arial" w:hAnsi="Arial" w:cs="Arial"/>
          <w:sz w:val="22"/>
          <w:szCs w:val="22"/>
          <w:lang w:val="en-US"/>
        </w:rPr>
        <w:t xml:space="preserve"> </w:t>
      </w:r>
      <w:r w:rsidRPr="00BE005D">
        <w:rPr>
          <w:rFonts w:ascii="Arial" w:hAnsi="Arial" w:cs="Arial"/>
          <w:i/>
          <w:iCs/>
          <w:sz w:val="22"/>
          <w:szCs w:val="22"/>
          <w:lang w:val="en-US"/>
        </w:rPr>
        <w:t>et al</w:t>
      </w:r>
      <w:r w:rsidRPr="00BE005D">
        <w:rPr>
          <w:rFonts w:ascii="Arial" w:hAnsi="Arial" w:cs="Arial"/>
          <w:sz w:val="22"/>
          <w:szCs w:val="22"/>
          <w:lang w:val="en-US"/>
        </w:rPr>
        <w:t>.</w:t>
      </w:r>
      <w:r w:rsidR="008C5E2C" w:rsidRPr="00BE005D">
        <w:rPr>
          <w:rFonts w:ascii="Arial" w:hAnsi="Arial" w:cs="Arial"/>
          <w:sz w:val="22"/>
          <w:szCs w:val="22"/>
          <w:lang w:val="en-US"/>
        </w:rPr>
        <w:t>,</w:t>
      </w:r>
      <w:r w:rsidRPr="00BE005D">
        <w:rPr>
          <w:rFonts w:ascii="Arial" w:hAnsi="Arial" w:cs="Arial"/>
          <w:sz w:val="22"/>
          <w:szCs w:val="22"/>
          <w:lang w:val="en-US"/>
        </w:rPr>
        <w:t xml:space="preserve"> (2001). Finally, the aerial mass / root mass ratio was calculated to assess the proportion of air and root development based on the treatments.</w:t>
      </w:r>
    </w:p>
    <w:p w14:paraId="5D337F21" w14:textId="77777777" w:rsidR="00E041F5" w:rsidRPr="00BE005D" w:rsidRDefault="00E041F5" w:rsidP="00E041F5">
      <w:pPr>
        <w:jc w:val="both"/>
        <w:rPr>
          <w:rFonts w:ascii="Arial" w:hAnsi="Arial" w:cs="Arial"/>
          <w:b/>
          <w:sz w:val="22"/>
          <w:szCs w:val="22"/>
          <w:lang w:val="en-US"/>
        </w:rPr>
      </w:pPr>
    </w:p>
    <w:p w14:paraId="1BA0FF17" w14:textId="77777777" w:rsidR="00E041F5" w:rsidRPr="00BE005D" w:rsidRDefault="00E041F5" w:rsidP="00E041F5">
      <w:pPr>
        <w:jc w:val="both"/>
        <w:rPr>
          <w:rFonts w:ascii="Arial" w:hAnsi="Arial" w:cs="Arial"/>
          <w:b/>
          <w:sz w:val="22"/>
          <w:szCs w:val="22"/>
          <w:lang w:val="en-US"/>
        </w:rPr>
      </w:pPr>
      <w:r w:rsidRPr="00BE005D">
        <w:rPr>
          <w:rFonts w:ascii="Arial" w:hAnsi="Arial" w:cs="Arial"/>
          <w:b/>
          <w:sz w:val="22"/>
          <w:szCs w:val="22"/>
          <w:lang w:val="en-US"/>
        </w:rPr>
        <w:t>Statistical analysis</w:t>
      </w:r>
    </w:p>
    <w:p w14:paraId="0A66D0A1" w14:textId="77777777" w:rsidR="00E041F5" w:rsidRPr="00BE005D" w:rsidRDefault="00E041F5" w:rsidP="00E041F5">
      <w:pPr>
        <w:jc w:val="both"/>
        <w:rPr>
          <w:rFonts w:ascii="Arial" w:hAnsi="Arial" w:cs="Arial"/>
          <w:b/>
          <w:sz w:val="22"/>
          <w:szCs w:val="22"/>
          <w:lang w:val="en-US"/>
        </w:rPr>
      </w:pPr>
    </w:p>
    <w:p w14:paraId="255E579A" w14:textId="4F31388E" w:rsidR="00E041F5" w:rsidRPr="00BE005D" w:rsidRDefault="00E041F5" w:rsidP="00E041F5">
      <w:pPr>
        <w:jc w:val="both"/>
        <w:rPr>
          <w:rFonts w:ascii="Arial" w:hAnsi="Arial" w:cs="Arial"/>
          <w:sz w:val="22"/>
          <w:szCs w:val="22"/>
          <w:lang w:val="en-US"/>
        </w:rPr>
      </w:pPr>
      <w:r w:rsidRPr="00BE005D">
        <w:rPr>
          <w:rFonts w:ascii="Arial" w:hAnsi="Arial" w:cs="Arial"/>
          <w:sz w:val="22"/>
          <w:szCs w:val="22"/>
          <w:lang w:val="en-US"/>
        </w:rPr>
        <w:t>An analysis of variance of the data (ANOVA) was performed using the General Linear Model procedure (GLM) by means of the SAS version 9</w:t>
      </w:r>
      <w:r w:rsidR="002C43B9" w:rsidRPr="00BE005D">
        <w:rPr>
          <w:rFonts w:ascii="Arial" w:hAnsi="Arial" w:cs="Arial"/>
          <w:sz w:val="22"/>
          <w:szCs w:val="22"/>
          <w:lang w:val="en-US"/>
        </w:rPr>
        <w:t>,</w:t>
      </w:r>
      <w:r w:rsidRPr="00BE005D">
        <w:rPr>
          <w:rFonts w:ascii="Arial" w:hAnsi="Arial" w:cs="Arial"/>
          <w:sz w:val="22"/>
          <w:szCs w:val="22"/>
          <w:lang w:val="en-US"/>
        </w:rPr>
        <w:t>1 statistical package. Further, mean comparison tests were performed through Duncan’s test (P &lt;0</w:t>
      </w:r>
      <w:r w:rsidR="002C43B9" w:rsidRPr="00BE005D">
        <w:rPr>
          <w:rFonts w:ascii="Arial" w:hAnsi="Arial" w:cs="Arial"/>
          <w:sz w:val="22"/>
          <w:szCs w:val="22"/>
          <w:lang w:val="en-US"/>
        </w:rPr>
        <w:t>,</w:t>
      </w:r>
      <w:r w:rsidRPr="00BE005D">
        <w:rPr>
          <w:rFonts w:ascii="Arial" w:hAnsi="Arial" w:cs="Arial"/>
          <w:sz w:val="22"/>
          <w:szCs w:val="22"/>
          <w:lang w:val="en-US"/>
        </w:rPr>
        <w:t>05).</w:t>
      </w:r>
    </w:p>
    <w:p w14:paraId="4FFE44C9" w14:textId="77777777" w:rsidR="00D17520" w:rsidRPr="00BE005D" w:rsidRDefault="00D17520">
      <w:pPr>
        <w:jc w:val="both"/>
        <w:rPr>
          <w:rFonts w:ascii="Arial" w:eastAsia="Arial" w:hAnsi="Arial" w:cs="Arial"/>
          <w:sz w:val="22"/>
          <w:szCs w:val="22"/>
          <w:lang w:val="en-US"/>
        </w:rPr>
      </w:pPr>
    </w:p>
    <w:p w14:paraId="68A1B94B" w14:textId="77777777" w:rsidR="00F13D75" w:rsidRPr="00BE005D" w:rsidRDefault="0087636D">
      <w:pPr>
        <w:rPr>
          <w:rFonts w:ascii="Arial" w:eastAsia="Arial" w:hAnsi="Arial" w:cs="Arial"/>
          <w:b/>
          <w:sz w:val="22"/>
          <w:szCs w:val="22"/>
        </w:rPr>
      </w:pPr>
      <w:r w:rsidRPr="00BE005D">
        <w:rPr>
          <w:rFonts w:ascii="Arial" w:eastAsia="Arial" w:hAnsi="Arial" w:cs="Arial"/>
          <w:b/>
          <w:sz w:val="22"/>
          <w:szCs w:val="22"/>
        </w:rPr>
        <w:t>RESULTS</w:t>
      </w:r>
    </w:p>
    <w:p w14:paraId="1F4E7021" w14:textId="77777777" w:rsidR="00F13D75" w:rsidRPr="00BE005D" w:rsidRDefault="00F13D75">
      <w:pPr>
        <w:rPr>
          <w:rFonts w:ascii="Arial" w:eastAsia="Arial" w:hAnsi="Arial" w:cs="Arial"/>
          <w:b/>
          <w:sz w:val="22"/>
          <w:szCs w:val="22"/>
        </w:rPr>
      </w:pPr>
    </w:p>
    <w:p w14:paraId="717DF3EA" w14:textId="77777777" w:rsidR="005416C1" w:rsidRPr="00BE005D" w:rsidRDefault="005416C1" w:rsidP="005416C1">
      <w:pPr>
        <w:jc w:val="both"/>
        <w:rPr>
          <w:rFonts w:ascii="Arial" w:hAnsi="Arial" w:cs="Arial"/>
          <w:b/>
          <w:sz w:val="22"/>
          <w:szCs w:val="22"/>
          <w:lang w:val="en-US"/>
        </w:rPr>
      </w:pPr>
      <w:r w:rsidRPr="00BE005D">
        <w:rPr>
          <w:rFonts w:ascii="Arial" w:hAnsi="Arial" w:cs="Arial"/>
          <w:b/>
          <w:sz w:val="22"/>
          <w:szCs w:val="22"/>
          <w:lang w:val="en-US"/>
        </w:rPr>
        <w:t xml:space="preserve">Evaluation of the solubilization of P </w:t>
      </w:r>
      <w:r w:rsidRPr="00BE005D">
        <w:rPr>
          <w:rFonts w:ascii="Arial" w:hAnsi="Arial" w:cs="Arial"/>
          <w:b/>
          <w:i/>
          <w:sz w:val="22"/>
          <w:szCs w:val="22"/>
          <w:lang w:val="en-US"/>
        </w:rPr>
        <w:t xml:space="preserve">in vitro </w:t>
      </w:r>
      <w:r w:rsidRPr="00BE005D">
        <w:rPr>
          <w:rFonts w:ascii="Arial" w:hAnsi="Arial" w:cs="Arial"/>
          <w:b/>
          <w:sz w:val="22"/>
          <w:szCs w:val="22"/>
          <w:lang w:val="en-US"/>
        </w:rPr>
        <w:t>conditions</w:t>
      </w:r>
    </w:p>
    <w:p w14:paraId="08034302" w14:textId="77777777" w:rsidR="005416C1" w:rsidRPr="00BE005D" w:rsidRDefault="005416C1" w:rsidP="005416C1">
      <w:pPr>
        <w:jc w:val="both"/>
        <w:rPr>
          <w:rFonts w:ascii="Arial" w:hAnsi="Arial" w:cs="Arial"/>
          <w:i/>
          <w:sz w:val="22"/>
          <w:szCs w:val="22"/>
          <w:lang w:val="en-US"/>
        </w:rPr>
      </w:pPr>
    </w:p>
    <w:p w14:paraId="002E65E4" w14:textId="77777777" w:rsidR="005416C1" w:rsidRPr="00BE005D" w:rsidRDefault="005416C1" w:rsidP="005416C1">
      <w:pPr>
        <w:jc w:val="both"/>
        <w:rPr>
          <w:rFonts w:ascii="Arial" w:hAnsi="Arial" w:cs="Arial"/>
          <w:b/>
          <w:sz w:val="22"/>
          <w:szCs w:val="22"/>
          <w:lang w:val="en-US"/>
        </w:rPr>
      </w:pPr>
      <w:r w:rsidRPr="00BE005D">
        <w:rPr>
          <w:rFonts w:ascii="Arial" w:hAnsi="Arial" w:cs="Arial"/>
          <w:i/>
          <w:sz w:val="22"/>
          <w:szCs w:val="22"/>
          <w:lang w:val="en-US"/>
        </w:rPr>
        <w:t>G. diazotrophicus</w:t>
      </w:r>
      <w:r w:rsidRPr="00BE005D">
        <w:rPr>
          <w:rFonts w:ascii="Arial" w:hAnsi="Arial" w:cs="Arial"/>
          <w:sz w:val="22"/>
          <w:szCs w:val="22"/>
          <w:lang w:val="en-US"/>
        </w:rPr>
        <w:t xml:space="preserve"> native isolates GIBI025 and GIBI029 and type strain ATCC 49037 have the ability to solubilize the three sources of inorganic phosphate (Ca</w:t>
      </w:r>
      <w:r w:rsidRPr="00BE005D">
        <w:rPr>
          <w:rFonts w:ascii="Arial" w:hAnsi="Arial" w:cs="Arial"/>
          <w:sz w:val="22"/>
          <w:szCs w:val="22"/>
          <w:vertAlign w:val="subscript"/>
          <w:lang w:val="en-US"/>
        </w:rPr>
        <w:t>3</w:t>
      </w:r>
      <w:r w:rsidRPr="00BE005D">
        <w:rPr>
          <w:rFonts w:ascii="Arial" w:hAnsi="Arial" w:cs="Arial"/>
          <w:sz w:val="22"/>
          <w:szCs w:val="22"/>
          <w:lang w:val="en-US"/>
        </w:rPr>
        <w:t>(PO</w:t>
      </w:r>
      <w:r w:rsidRPr="00BE005D">
        <w:rPr>
          <w:rFonts w:ascii="Arial" w:hAnsi="Arial" w:cs="Arial"/>
          <w:sz w:val="22"/>
          <w:szCs w:val="22"/>
          <w:vertAlign w:val="subscript"/>
          <w:lang w:val="en-US"/>
        </w:rPr>
        <w:t>4</w:t>
      </w:r>
      <w:r w:rsidRPr="00BE005D">
        <w:rPr>
          <w:rFonts w:ascii="Arial" w:hAnsi="Arial" w:cs="Arial"/>
          <w:sz w:val="22"/>
          <w:szCs w:val="22"/>
          <w:lang w:val="en-US"/>
        </w:rPr>
        <w:t>)</w:t>
      </w:r>
      <w:r w:rsidRPr="00BE005D">
        <w:rPr>
          <w:rFonts w:ascii="Arial" w:hAnsi="Arial" w:cs="Arial"/>
          <w:sz w:val="22"/>
          <w:szCs w:val="22"/>
          <w:vertAlign w:val="subscript"/>
          <w:lang w:val="en-US"/>
        </w:rPr>
        <w:t>2</w:t>
      </w:r>
      <w:r w:rsidRPr="00BE005D">
        <w:rPr>
          <w:rFonts w:ascii="Arial" w:hAnsi="Arial" w:cs="Arial"/>
          <w:sz w:val="22"/>
          <w:szCs w:val="22"/>
          <w:lang w:val="en-US"/>
        </w:rPr>
        <w:t>, AlPO</w:t>
      </w:r>
      <w:r w:rsidRPr="00BE005D">
        <w:rPr>
          <w:rFonts w:ascii="Arial" w:hAnsi="Arial" w:cs="Arial"/>
          <w:sz w:val="22"/>
          <w:szCs w:val="22"/>
          <w:vertAlign w:val="subscript"/>
          <w:lang w:val="en-US"/>
        </w:rPr>
        <w:t>4</w:t>
      </w:r>
      <w:r w:rsidRPr="00BE005D">
        <w:rPr>
          <w:rFonts w:ascii="Arial" w:hAnsi="Arial" w:cs="Arial"/>
          <w:sz w:val="22"/>
          <w:szCs w:val="22"/>
          <w:lang w:val="en-US"/>
        </w:rPr>
        <w:t xml:space="preserve"> and FePO</w:t>
      </w:r>
      <w:r w:rsidRPr="00BE005D">
        <w:rPr>
          <w:rFonts w:ascii="Arial" w:hAnsi="Arial" w:cs="Arial"/>
          <w:sz w:val="22"/>
          <w:szCs w:val="22"/>
          <w:vertAlign w:val="subscript"/>
          <w:lang w:val="en-US"/>
        </w:rPr>
        <w:t>4</w:t>
      </w:r>
      <w:r w:rsidRPr="00BE005D">
        <w:rPr>
          <w:rFonts w:ascii="Arial" w:hAnsi="Arial" w:cs="Arial"/>
          <w:sz w:val="22"/>
          <w:szCs w:val="22"/>
          <w:lang w:val="en-US"/>
        </w:rPr>
        <w:t>) present in the NBRIP media both in semiquantitative and quantitative assays.</w:t>
      </w:r>
    </w:p>
    <w:p w14:paraId="1FBB5407" w14:textId="77777777" w:rsidR="005416C1" w:rsidRPr="00BE005D" w:rsidRDefault="005416C1" w:rsidP="005416C1">
      <w:pPr>
        <w:jc w:val="both"/>
        <w:rPr>
          <w:rFonts w:ascii="Arial" w:hAnsi="Arial" w:cs="Arial"/>
          <w:sz w:val="22"/>
          <w:szCs w:val="22"/>
          <w:lang w:val="en-US"/>
        </w:rPr>
      </w:pPr>
    </w:p>
    <w:p w14:paraId="0F079E38" w14:textId="0067722A" w:rsidR="005416C1" w:rsidRPr="00BE005D" w:rsidRDefault="005416C1" w:rsidP="005416C1">
      <w:pPr>
        <w:jc w:val="both"/>
        <w:rPr>
          <w:rFonts w:ascii="Arial" w:hAnsi="Arial" w:cs="Arial"/>
          <w:sz w:val="22"/>
          <w:szCs w:val="22"/>
          <w:lang w:val="en-US"/>
        </w:rPr>
      </w:pPr>
      <w:r w:rsidRPr="00BE005D">
        <w:rPr>
          <w:rFonts w:ascii="Arial" w:hAnsi="Arial" w:cs="Arial"/>
          <w:sz w:val="22"/>
          <w:szCs w:val="22"/>
          <w:lang w:val="en-US"/>
        </w:rPr>
        <w:t>In semiquantitative assays where the media were supplemented with tricalcium phosphate, all bacteria evaluated peaked solubilization at 168 hours of incubation, whereas in media supplemented with iron phosphate and aluminum the peaks appear at 48 hours for all bacteria. From the isolates, GIBI025 reached the highest solubilization value with a Solubilization Index (SI) of 4</w:t>
      </w:r>
      <w:r w:rsidR="002C43B9" w:rsidRPr="00BE005D">
        <w:rPr>
          <w:rFonts w:ascii="Arial" w:hAnsi="Arial" w:cs="Arial"/>
          <w:sz w:val="22"/>
          <w:szCs w:val="22"/>
          <w:lang w:val="en-US"/>
        </w:rPr>
        <w:t>,</w:t>
      </w:r>
      <w:r w:rsidRPr="00BE005D">
        <w:rPr>
          <w:rFonts w:ascii="Arial" w:hAnsi="Arial" w:cs="Arial"/>
          <w:sz w:val="22"/>
          <w:szCs w:val="22"/>
          <w:lang w:val="en-US"/>
        </w:rPr>
        <w:t>86, followed by GIBI029 with 4</w:t>
      </w:r>
      <w:r w:rsidR="002C43B9" w:rsidRPr="00BE005D">
        <w:rPr>
          <w:rFonts w:ascii="Arial" w:hAnsi="Arial" w:cs="Arial"/>
          <w:sz w:val="22"/>
          <w:szCs w:val="22"/>
          <w:lang w:val="en-US"/>
        </w:rPr>
        <w:t>,</w:t>
      </w:r>
      <w:r w:rsidRPr="00BE005D">
        <w:rPr>
          <w:rFonts w:ascii="Arial" w:hAnsi="Arial" w:cs="Arial"/>
          <w:sz w:val="22"/>
          <w:szCs w:val="22"/>
          <w:lang w:val="en-US"/>
        </w:rPr>
        <w:t>19 and the type strain with a SI of 4</w:t>
      </w:r>
      <w:r w:rsidR="002C43B9" w:rsidRPr="00BE005D">
        <w:rPr>
          <w:rFonts w:ascii="Arial" w:hAnsi="Arial" w:cs="Arial"/>
          <w:sz w:val="22"/>
          <w:szCs w:val="22"/>
          <w:lang w:val="en-US"/>
        </w:rPr>
        <w:t>,</w:t>
      </w:r>
      <w:r w:rsidRPr="00BE005D">
        <w:rPr>
          <w:rFonts w:ascii="Arial" w:hAnsi="Arial" w:cs="Arial"/>
          <w:sz w:val="22"/>
          <w:szCs w:val="22"/>
          <w:lang w:val="en-US"/>
        </w:rPr>
        <w:t>14 in NBRIP + tricalcium phosphate. In NBRIP + aluminum phosphate, the SI value was 1</w:t>
      </w:r>
      <w:r w:rsidR="002C43B9" w:rsidRPr="00BE005D">
        <w:rPr>
          <w:rFonts w:ascii="Arial" w:hAnsi="Arial" w:cs="Arial"/>
          <w:sz w:val="22"/>
          <w:szCs w:val="22"/>
          <w:lang w:val="en-US"/>
        </w:rPr>
        <w:t>,</w:t>
      </w:r>
      <w:r w:rsidRPr="00BE005D">
        <w:rPr>
          <w:rFonts w:ascii="Arial" w:hAnsi="Arial" w:cs="Arial"/>
          <w:sz w:val="22"/>
          <w:szCs w:val="22"/>
          <w:lang w:val="en-US"/>
        </w:rPr>
        <w:t>67 and 1</w:t>
      </w:r>
      <w:r w:rsidR="002C43B9" w:rsidRPr="00BE005D">
        <w:rPr>
          <w:rFonts w:ascii="Arial" w:hAnsi="Arial" w:cs="Arial"/>
          <w:sz w:val="22"/>
          <w:szCs w:val="22"/>
          <w:lang w:val="en-US"/>
        </w:rPr>
        <w:t>,</w:t>
      </w:r>
      <w:r w:rsidRPr="00BE005D">
        <w:rPr>
          <w:rFonts w:ascii="Arial" w:hAnsi="Arial" w:cs="Arial"/>
          <w:sz w:val="22"/>
          <w:szCs w:val="22"/>
          <w:lang w:val="en-US"/>
        </w:rPr>
        <w:t>43 in NBRIP + iron phosphate for all bacteria evaluated (Table 1).</w:t>
      </w:r>
    </w:p>
    <w:p w14:paraId="5FE4001D" w14:textId="77777777" w:rsidR="005416C1" w:rsidRPr="00BE005D" w:rsidRDefault="005416C1" w:rsidP="005416C1">
      <w:pPr>
        <w:jc w:val="both"/>
        <w:rPr>
          <w:rFonts w:ascii="Arial" w:hAnsi="Arial" w:cs="Arial"/>
          <w:sz w:val="22"/>
          <w:szCs w:val="22"/>
          <w:lang w:val="en-US"/>
        </w:rPr>
      </w:pPr>
    </w:p>
    <w:p w14:paraId="324D7B46" w14:textId="0C6B6F24" w:rsidR="005416C1" w:rsidRPr="00BE005D" w:rsidRDefault="005416C1" w:rsidP="005416C1">
      <w:pPr>
        <w:jc w:val="both"/>
        <w:rPr>
          <w:rFonts w:ascii="Arial" w:hAnsi="Arial" w:cs="Arial"/>
          <w:sz w:val="22"/>
          <w:szCs w:val="22"/>
          <w:lang w:val="en-US"/>
        </w:rPr>
      </w:pPr>
      <w:r w:rsidRPr="00BE005D">
        <w:rPr>
          <w:rFonts w:ascii="Arial" w:hAnsi="Arial" w:cs="Arial"/>
          <w:sz w:val="22"/>
          <w:szCs w:val="22"/>
          <w:lang w:val="en-US"/>
        </w:rPr>
        <w:t>The presence of the pH indicator bromocresol green made possible to observe a shift in color in the media from blue (pH 7</w:t>
      </w:r>
      <w:r w:rsidR="002C43B9" w:rsidRPr="00BE005D">
        <w:rPr>
          <w:rFonts w:ascii="Arial" w:hAnsi="Arial" w:cs="Arial"/>
          <w:sz w:val="22"/>
          <w:szCs w:val="22"/>
          <w:lang w:val="en-US"/>
        </w:rPr>
        <w:t>,</w:t>
      </w:r>
      <w:r w:rsidRPr="00BE005D">
        <w:rPr>
          <w:rFonts w:ascii="Arial" w:hAnsi="Arial" w:cs="Arial"/>
          <w:sz w:val="22"/>
          <w:szCs w:val="22"/>
          <w:lang w:val="en-US"/>
        </w:rPr>
        <w:t xml:space="preserve">0) to yellow, as a result of acidification. However, in contrast to the reactions occurred in media supplemented with aluminum phosphate and iron phosphate, in which total acidification was observed, only partial acidification was achieved in medium supplemented with tricalcium phosphate, coinciding with the diameters of the solubilization halos. The remaining area became greenish blue, indicating a neuter to basic </w:t>
      </w:r>
      <w:proofErr w:type="spellStart"/>
      <w:r w:rsidRPr="00BE005D">
        <w:rPr>
          <w:rFonts w:ascii="Arial" w:hAnsi="Arial" w:cs="Arial"/>
          <w:sz w:val="22"/>
          <w:szCs w:val="22"/>
          <w:lang w:val="en-US"/>
        </w:rPr>
        <w:t>pH.</w:t>
      </w:r>
      <w:proofErr w:type="spellEnd"/>
      <w:r w:rsidRPr="00BE005D">
        <w:rPr>
          <w:rFonts w:ascii="Arial" w:hAnsi="Arial" w:cs="Arial"/>
          <w:sz w:val="22"/>
          <w:szCs w:val="22"/>
          <w:lang w:val="en-US"/>
        </w:rPr>
        <w:t xml:space="preserve"> Phosphate </w:t>
      </w:r>
      <w:r w:rsidR="004224FA" w:rsidRPr="00BE005D">
        <w:rPr>
          <w:rFonts w:ascii="Arial" w:hAnsi="Arial" w:cs="Arial"/>
          <w:sz w:val="22"/>
          <w:szCs w:val="22"/>
          <w:lang w:val="en-US"/>
        </w:rPr>
        <w:t>S</w:t>
      </w:r>
      <w:r w:rsidRPr="00BE005D">
        <w:rPr>
          <w:rFonts w:ascii="Arial" w:hAnsi="Arial" w:cs="Arial"/>
          <w:sz w:val="22"/>
          <w:szCs w:val="22"/>
          <w:lang w:val="en-US"/>
        </w:rPr>
        <w:t>olubilization</w:t>
      </w:r>
      <w:r w:rsidR="002356D0" w:rsidRPr="00BE005D">
        <w:rPr>
          <w:rFonts w:ascii="Arial" w:hAnsi="Arial" w:cs="Arial"/>
          <w:sz w:val="22"/>
          <w:szCs w:val="22"/>
          <w:lang w:val="en-US"/>
        </w:rPr>
        <w:t xml:space="preserve"> </w:t>
      </w:r>
      <w:r w:rsidRPr="00BE005D">
        <w:rPr>
          <w:rFonts w:ascii="Arial" w:hAnsi="Arial" w:cs="Arial"/>
          <w:sz w:val="22"/>
          <w:szCs w:val="22"/>
          <w:lang w:val="en-US"/>
        </w:rPr>
        <w:t xml:space="preserve">(SI) and </w:t>
      </w:r>
      <w:r w:rsidR="002C43B9" w:rsidRPr="00BE005D">
        <w:rPr>
          <w:rFonts w:ascii="Arial" w:hAnsi="Arial" w:cs="Arial"/>
          <w:sz w:val="22"/>
          <w:szCs w:val="22"/>
          <w:lang w:val="en-US"/>
        </w:rPr>
        <w:t>A</w:t>
      </w:r>
      <w:r w:rsidRPr="00BE005D">
        <w:rPr>
          <w:rFonts w:ascii="Arial" w:hAnsi="Arial" w:cs="Arial"/>
          <w:sz w:val="22"/>
          <w:szCs w:val="22"/>
          <w:lang w:val="en-US"/>
        </w:rPr>
        <w:t xml:space="preserve">cid </w:t>
      </w:r>
      <w:r w:rsidR="002C43B9" w:rsidRPr="00BE005D">
        <w:rPr>
          <w:rFonts w:ascii="Arial" w:hAnsi="Arial" w:cs="Arial"/>
          <w:sz w:val="22"/>
          <w:szCs w:val="22"/>
          <w:lang w:val="en-US"/>
        </w:rPr>
        <w:t>P</w:t>
      </w:r>
      <w:r w:rsidRPr="00BE005D">
        <w:rPr>
          <w:rFonts w:ascii="Arial" w:hAnsi="Arial" w:cs="Arial"/>
          <w:sz w:val="22"/>
          <w:szCs w:val="22"/>
          <w:lang w:val="en-US"/>
        </w:rPr>
        <w:t xml:space="preserve">roduction </w:t>
      </w:r>
      <w:r w:rsidR="002C43B9" w:rsidRPr="00BE005D">
        <w:rPr>
          <w:rFonts w:ascii="Arial" w:hAnsi="Arial" w:cs="Arial"/>
          <w:sz w:val="22"/>
          <w:szCs w:val="22"/>
          <w:lang w:val="en-US"/>
        </w:rPr>
        <w:t>I</w:t>
      </w:r>
      <w:r w:rsidRPr="00BE005D">
        <w:rPr>
          <w:rFonts w:ascii="Arial" w:hAnsi="Arial" w:cs="Arial"/>
          <w:sz w:val="22"/>
          <w:szCs w:val="22"/>
          <w:lang w:val="en-US"/>
        </w:rPr>
        <w:t>ndices (API) had a similar behavior in the three bacteria in the different culture media (Table 1).</w:t>
      </w:r>
    </w:p>
    <w:p w14:paraId="617F05B9" w14:textId="77777777" w:rsidR="005416C1" w:rsidRPr="00BE005D" w:rsidRDefault="005416C1" w:rsidP="005416C1">
      <w:pPr>
        <w:jc w:val="both"/>
        <w:rPr>
          <w:rFonts w:ascii="Arial" w:hAnsi="Arial" w:cs="Arial"/>
          <w:b/>
          <w:lang w:val="en-US"/>
        </w:rPr>
      </w:pPr>
    </w:p>
    <w:p w14:paraId="7A90C307" w14:textId="612E9B70" w:rsidR="00A81995" w:rsidRPr="00BE005D" w:rsidRDefault="00A81995" w:rsidP="004E66E1">
      <w:pPr>
        <w:pStyle w:val="Descripcin"/>
        <w:rPr>
          <w:rFonts w:ascii="Arial" w:hAnsi="Arial" w:cs="Arial"/>
          <w:sz w:val="18"/>
          <w:lang w:val="en-US"/>
        </w:rPr>
      </w:pPr>
      <w:r w:rsidRPr="00BE005D">
        <w:rPr>
          <w:rFonts w:ascii="Arial" w:hAnsi="Arial" w:cs="Arial"/>
          <w:b/>
          <w:bCs w:val="0"/>
          <w:sz w:val="18"/>
          <w:lang w:val="en-US"/>
        </w:rPr>
        <w:t>Table 1</w:t>
      </w:r>
      <w:r w:rsidR="00BF0758" w:rsidRPr="00BE005D">
        <w:rPr>
          <w:rFonts w:ascii="Arial" w:hAnsi="Arial" w:cs="Arial"/>
          <w:b/>
          <w:bCs w:val="0"/>
          <w:sz w:val="18"/>
          <w:lang w:val="en-US"/>
        </w:rPr>
        <w:t>.</w:t>
      </w:r>
      <w:r w:rsidRPr="00BE005D">
        <w:rPr>
          <w:rFonts w:ascii="Arial" w:hAnsi="Arial" w:cs="Arial"/>
          <w:sz w:val="18"/>
          <w:lang w:val="en-US"/>
        </w:rPr>
        <w:t xml:space="preserve"> Solubilization Index (SI) and Acid Production Index (API) 10 days after incubation (240 hours).</w:t>
      </w:r>
    </w:p>
    <w:p w14:paraId="1E96CB05" w14:textId="77777777" w:rsidR="00A81995" w:rsidRPr="00BE005D" w:rsidRDefault="00A81995" w:rsidP="004E66E1">
      <w:pPr>
        <w:rPr>
          <w:rFonts w:ascii="Arial" w:hAnsi="Arial" w:cs="Arial"/>
          <w:lang w:val="en-US"/>
        </w:rPr>
      </w:pP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993"/>
        <w:gridCol w:w="1134"/>
        <w:gridCol w:w="992"/>
        <w:gridCol w:w="1134"/>
        <w:gridCol w:w="992"/>
        <w:gridCol w:w="1134"/>
      </w:tblGrid>
      <w:tr w:rsidR="00A81995" w:rsidRPr="00BE005D" w14:paraId="677C05D5" w14:textId="77777777" w:rsidTr="002E1D47">
        <w:trPr>
          <w:jc w:val="center"/>
        </w:trPr>
        <w:tc>
          <w:tcPr>
            <w:tcW w:w="1809" w:type="dxa"/>
            <w:vMerge w:val="restart"/>
            <w:tcBorders>
              <w:top w:val="single" w:sz="4" w:space="0" w:color="auto"/>
              <w:bottom w:val="single" w:sz="4" w:space="0" w:color="auto"/>
            </w:tcBorders>
          </w:tcPr>
          <w:p w14:paraId="19F752D0" w14:textId="77777777" w:rsidR="00A81995" w:rsidRPr="00BE005D" w:rsidRDefault="00A81995" w:rsidP="004E66E1">
            <w:pPr>
              <w:jc w:val="center"/>
              <w:rPr>
                <w:rFonts w:ascii="Arial" w:hAnsi="Arial" w:cs="Arial"/>
                <w:sz w:val="18"/>
                <w:szCs w:val="18"/>
                <w:lang w:val="en-US"/>
              </w:rPr>
            </w:pPr>
          </w:p>
          <w:p w14:paraId="4030C0CA" w14:textId="77777777" w:rsidR="00A81995" w:rsidRPr="00BE005D" w:rsidRDefault="00A81995" w:rsidP="004E66E1">
            <w:pPr>
              <w:jc w:val="center"/>
              <w:rPr>
                <w:rFonts w:ascii="Arial" w:hAnsi="Arial" w:cs="Arial"/>
                <w:sz w:val="18"/>
                <w:szCs w:val="18"/>
              </w:rPr>
            </w:pPr>
            <w:proofErr w:type="spellStart"/>
            <w:r w:rsidRPr="00BE005D">
              <w:rPr>
                <w:rFonts w:ascii="Arial" w:hAnsi="Arial" w:cs="Arial"/>
                <w:sz w:val="18"/>
                <w:szCs w:val="18"/>
              </w:rPr>
              <w:t>Microorganism</w:t>
            </w:r>
            <w:proofErr w:type="spellEnd"/>
          </w:p>
        </w:tc>
        <w:tc>
          <w:tcPr>
            <w:tcW w:w="2127" w:type="dxa"/>
            <w:gridSpan w:val="2"/>
            <w:tcBorders>
              <w:top w:val="single" w:sz="4" w:space="0" w:color="auto"/>
              <w:bottom w:val="single" w:sz="4" w:space="0" w:color="auto"/>
            </w:tcBorders>
          </w:tcPr>
          <w:p w14:paraId="2960ED4F" w14:textId="77777777" w:rsidR="00A81995" w:rsidRPr="00BE005D" w:rsidRDefault="00A81995" w:rsidP="004E66E1">
            <w:pPr>
              <w:jc w:val="center"/>
              <w:rPr>
                <w:rFonts w:ascii="Arial" w:hAnsi="Arial" w:cs="Arial"/>
                <w:sz w:val="18"/>
                <w:szCs w:val="18"/>
              </w:rPr>
            </w:pPr>
            <w:proofErr w:type="spellStart"/>
            <w:r w:rsidRPr="00BE005D">
              <w:rPr>
                <w:rFonts w:ascii="Arial" w:hAnsi="Arial" w:cs="Arial"/>
                <w:sz w:val="18"/>
                <w:szCs w:val="18"/>
              </w:rPr>
              <w:t>Tricalcium</w:t>
            </w:r>
            <w:proofErr w:type="spellEnd"/>
            <w:r w:rsidRPr="00BE005D">
              <w:rPr>
                <w:rFonts w:ascii="Arial" w:hAnsi="Arial" w:cs="Arial"/>
                <w:sz w:val="18"/>
                <w:szCs w:val="18"/>
              </w:rPr>
              <w:t xml:space="preserve"> </w:t>
            </w:r>
            <w:proofErr w:type="spellStart"/>
            <w:r w:rsidRPr="00BE005D">
              <w:rPr>
                <w:rFonts w:ascii="Arial" w:hAnsi="Arial" w:cs="Arial"/>
                <w:sz w:val="18"/>
                <w:szCs w:val="18"/>
              </w:rPr>
              <w:t>phosphate</w:t>
            </w:r>
            <w:proofErr w:type="spellEnd"/>
            <w:r w:rsidRPr="00BE005D">
              <w:rPr>
                <w:rFonts w:ascii="Arial" w:hAnsi="Arial" w:cs="Arial"/>
                <w:sz w:val="18"/>
                <w:szCs w:val="18"/>
              </w:rPr>
              <w:t>**</w:t>
            </w:r>
          </w:p>
        </w:tc>
        <w:tc>
          <w:tcPr>
            <w:tcW w:w="2126" w:type="dxa"/>
            <w:gridSpan w:val="2"/>
            <w:tcBorders>
              <w:top w:val="single" w:sz="4" w:space="0" w:color="auto"/>
              <w:bottom w:val="single" w:sz="4" w:space="0" w:color="auto"/>
            </w:tcBorders>
          </w:tcPr>
          <w:p w14:paraId="067CC712" w14:textId="77777777" w:rsidR="00A81995" w:rsidRPr="00BE005D" w:rsidRDefault="00A81995" w:rsidP="004E66E1">
            <w:pPr>
              <w:jc w:val="center"/>
              <w:rPr>
                <w:rFonts w:ascii="Arial" w:hAnsi="Arial" w:cs="Arial"/>
                <w:sz w:val="18"/>
                <w:szCs w:val="18"/>
              </w:rPr>
            </w:pPr>
            <w:proofErr w:type="spellStart"/>
            <w:r w:rsidRPr="00BE005D">
              <w:rPr>
                <w:rFonts w:ascii="Arial" w:hAnsi="Arial" w:cs="Arial"/>
                <w:sz w:val="18"/>
                <w:szCs w:val="18"/>
              </w:rPr>
              <w:t>Aluminum</w:t>
            </w:r>
            <w:proofErr w:type="spellEnd"/>
            <w:r w:rsidRPr="00BE005D">
              <w:rPr>
                <w:rFonts w:ascii="Arial" w:hAnsi="Arial" w:cs="Arial"/>
                <w:sz w:val="18"/>
                <w:szCs w:val="18"/>
              </w:rPr>
              <w:t xml:space="preserve"> </w:t>
            </w:r>
            <w:proofErr w:type="spellStart"/>
            <w:r w:rsidRPr="00BE005D">
              <w:rPr>
                <w:rFonts w:ascii="Arial" w:hAnsi="Arial" w:cs="Arial"/>
                <w:sz w:val="18"/>
                <w:szCs w:val="18"/>
              </w:rPr>
              <w:t>phosphate</w:t>
            </w:r>
            <w:proofErr w:type="spellEnd"/>
          </w:p>
        </w:tc>
        <w:tc>
          <w:tcPr>
            <w:tcW w:w="2126" w:type="dxa"/>
            <w:gridSpan w:val="2"/>
            <w:tcBorders>
              <w:top w:val="single" w:sz="4" w:space="0" w:color="auto"/>
              <w:bottom w:val="single" w:sz="4" w:space="0" w:color="auto"/>
            </w:tcBorders>
          </w:tcPr>
          <w:p w14:paraId="7BEDA912" w14:textId="77777777" w:rsidR="00A81995" w:rsidRPr="00BE005D" w:rsidRDefault="00A81995" w:rsidP="004E66E1">
            <w:pPr>
              <w:jc w:val="center"/>
              <w:rPr>
                <w:rFonts w:ascii="Arial" w:hAnsi="Arial" w:cs="Arial"/>
                <w:sz w:val="18"/>
                <w:szCs w:val="18"/>
              </w:rPr>
            </w:pPr>
            <w:proofErr w:type="spellStart"/>
            <w:r w:rsidRPr="00BE005D">
              <w:rPr>
                <w:rFonts w:ascii="Arial" w:hAnsi="Arial" w:cs="Arial"/>
                <w:sz w:val="18"/>
                <w:szCs w:val="18"/>
              </w:rPr>
              <w:t>Iron</w:t>
            </w:r>
            <w:proofErr w:type="spellEnd"/>
            <w:r w:rsidRPr="00BE005D">
              <w:rPr>
                <w:rFonts w:ascii="Arial" w:hAnsi="Arial" w:cs="Arial"/>
                <w:sz w:val="18"/>
                <w:szCs w:val="18"/>
              </w:rPr>
              <w:t xml:space="preserve"> </w:t>
            </w:r>
            <w:proofErr w:type="spellStart"/>
            <w:r w:rsidRPr="00BE005D">
              <w:rPr>
                <w:rFonts w:ascii="Arial" w:hAnsi="Arial" w:cs="Arial"/>
                <w:sz w:val="18"/>
                <w:szCs w:val="18"/>
              </w:rPr>
              <w:t>phosphate</w:t>
            </w:r>
            <w:proofErr w:type="spellEnd"/>
          </w:p>
        </w:tc>
      </w:tr>
      <w:tr w:rsidR="00A81995" w:rsidRPr="00BE005D" w14:paraId="3D2AB57F" w14:textId="77777777" w:rsidTr="002E1D47">
        <w:trPr>
          <w:jc w:val="center"/>
        </w:trPr>
        <w:tc>
          <w:tcPr>
            <w:tcW w:w="1809" w:type="dxa"/>
            <w:vMerge/>
            <w:tcBorders>
              <w:top w:val="single" w:sz="4" w:space="0" w:color="auto"/>
              <w:bottom w:val="single" w:sz="4" w:space="0" w:color="auto"/>
            </w:tcBorders>
          </w:tcPr>
          <w:p w14:paraId="1BF8A49B" w14:textId="77777777" w:rsidR="00A81995" w:rsidRPr="00BE005D" w:rsidRDefault="00A81995" w:rsidP="004E66E1">
            <w:pPr>
              <w:rPr>
                <w:rFonts w:ascii="Arial" w:hAnsi="Arial" w:cs="Arial"/>
                <w:sz w:val="18"/>
                <w:szCs w:val="18"/>
              </w:rPr>
            </w:pPr>
          </w:p>
        </w:tc>
        <w:tc>
          <w:tcPr>
            <w:tcW w:w="993" w:type="dxa"/>
            <w:tcBorders>
              <w:top w:val="single" w:sz="4" w:space="0" w:color="auto"/>
              <w:bottom w:val="single" w:sz="4" w:space="0" w:color="auto"/>
            </w:tcBorders>
          </w:tcPr>
          <w:p w14:paraId="2CCF9B30" w14:textId="77777777" w:rsidR="00A81995" w:rsidRPr="00BE005D" w:rsidRDefault="00A81995" w:rsidP="004E66E1">
            <w:pPr>
              <w:jc w:val="center"/>
              <w:rPr>
                <w:rFonts w:ascii="Arial" w:hAnsi="Arial" w:cs="Arial"/>
                <w:sz w:val="18"/>
                <w:szCs w:val="18"/>
              </w:rPr>
            </w:pPr>
            <w:r w:rsidRPr="00BE005D">
              <w:rPr>
                <w:rFonts w:ascii="Arial" w:hAnsi="Arial" w:cs="Arial"/>
                <w:sz w:val="18"/>
                <w:szCs w:val="18"/>
              </w:rPr>
              <w:t>SI (mm) *</w:t>
            </w:r>
          </w:p>
        </w:tc>
        <w:tc>
          <w:tcPr>
            <w:tcW w:w="1134" w:type="dxa"/>
            <w:tcBorders>
              <w:top w:val="single" w:sz="4" w:space="0" w:color="auto"/>
              <w:bottom w:val="single" w:sz="4" w:space="0" w:color="auto"/>
            </w:tcBorders>
          </w:tcPr>
          <w:p w14:paraId="338141DA" w14:textId="77777777" w:rsidR="00A81995" w:rsidRPr="00BE005D" w:rsidRDefault="00A81995" w:rsidP="004E66E1">
            <w:pPr>
              <w:jc w:val="center"/>
              <w:rPr>
                <w:rFonts w:ascii="Arial" w:hAnsi="Arial" w:cs="Arial"/>
                <w:sz w:val="18"/>
                <w:szCs w:val="18"/>
              </w:rPr>
            </w:pPr>
            <w:r w:rsidRPr="00BE005D">
              <w:rPr>
                <w:rFonts w:ascii="Arial" w:hAnsi="Arial" w:cs="Arial"/>
                <w:sz w:val="18"/>
                <w:szCs w:val="18"/>
              </w:rPr>
              <w:t>API (mm)</w:t>
            </w:r>
          </w:p>
        </w:tc>
        <w:tc>
          <w:tcPr>
            <w:tcW w:w="992" w:type="dxa"/>
            <w:tcBorders>
              <w:top w:val="single" w:sz="4" w:space="0" w:color="auto"/>
              <w:bottom w:val="single" w:sz="4" w:space="0" w:color="auto"/>
            </w:tcBorders>
          </w:tcPr>
          <w:p w14:paraId="00C811A1" w14:textId="77777777" w:rsidR="00A81995" w:rsidRPr="00BE005D" w:rsidRDefault="00A81995" w:rsidP="004E66E1">
            <w:pPr>
              <w:jc w:val="center"/>
              <w:rPr>
                <w:rFonts w:ascii="Arial" w:hAnsi="Arial" w:cs="Arial"/>
                <w:sz w:val="18"/>
                <w:szCs w:val="18"/>
              </w:rPr>
            </w:pPr>
            <w:r w:rsidRPr="00BE005D">
              <w:rPr>
                <w:rFonts w:ascii="Arial" w:hAnsi="Arial" w:cs="Arial"/>
                <w:sz w:val="18"/>
                <w:szCs w:val="18"/>
              </w:rPr>
              <w:t>SI (mm)</w:t>
            </w:r>
          </w:p>
        </w:tc>
        <w:tc>
          <w:tcPr>
            <w:tcW w:w="1134" w:type="dxa"/>
            <w:tcBorders>
              <w:top w:val="single" w:sz="4" w:space="0" w:color="auto"/>
              <w:bottom w:val="single" w:sz="4" w:space="0" w:color="auto"/>
            </w:tcBorders>
          </w:tcPr>
          <w:p w14:paraId="16590144" w14:textId="77777777" w:rsidR="00A81995" w:rsidRPr="00BE005D" w:rsidRDefault="00A81995" w:rsidP="004E66E1">
            <w:pPr>
              <w:jc w:val="center"/>
              <w:rPr>
                <w:rFonts w:ascii="Arial" w:hAnsi="Arial" w:cs="Arial"/>
                <w:sz w:val="18"/>
                <w:szCs w:val="18"/>
              </w:rPr>
            </w:pPr>
            <w:r w:rsidRPr="00BE005D">
              <w:rPr>
                <w:rFonts w:ascii="Arial" w:hAnsi="Arial" w:cs="Arial"/>
                <w:sz w:val="18"/>
                <w:szCs w:val="18"/>
              </w:rPr>
              <w:t>API (mm)</w:t>
            </w:r>
          </w:p>
        </w:tc>
        <w:tc>
          <w:tcPr>
            <w:tcW w:w="992" w:type="dxa"/>
            <w:tcBorders>
              <w:top w:val="single" w:sz="4" w:space="0" w:color="auto"/>
              <w:bottom w:val="single" w:sz="4" w:space="0" w:color="auto"/>
            </w:tcBorders>
          </w:tcPr>
          <w:p w14:paraId="6F9254E2" w14:textId="77777777" w:rsidR="00A81995" w:rsidRPr="00BE005D" w:rsidRDefault="00A81995" w:rsidP="004E66E1">
            <w:pPr>
              <w:jc w:val="center"/>
              <w:rPr>
                <w:rFonts w:ascii="Arial" w:hAnsi="Arial" w:cs="Arial"/>
                <w:sz w:val="18"/>
                <w:szCs w:val="18"/>
              </w:rPr>
            </w:pPr>
            <w:r w:rsidRPr="00BE005D">
              <w:rPr>
                <w:rFonts w:ascii="Arial" w:hAnsi="Arial" w:cs="Arial"/>
                <w:sz w:val="18"/>
                <w:szCs w:val="18"/>
              </w:rPr>
              <w:t>SI (mm)</w:t>
            </w:r>
          </w:p>
        </w:tc>
        <w:tc>
          <w:tcPr>
            <w:tcW w:w="1134" w:type="dxa"/>
            <w:tcBorders>
              <w:top w:val="single" w:sz="4" w:space="0" w:color="auto"/>
              <w:bottom w:val="single" w:sz="4" w:space="0" w:color="auto"/>
            </w:tcBorders>
          </w:tcPr>
          <w:p w14:paraId="5BCF5CDF" w14:textId="77777777" w:rsidR="00A81995" w:rsidRPr="00BE005D" w:rsidRDefault="00A81995" w:rsidP="004E66E1">
            <w:pPr>
              <w:jc w:val="center"/>
              <w:rPr>
                <w:rFonts w:ascii="Arial" w:hAnsi="Arial" w:cs="Arial"/>
                <w:sz w:val="18"/>
                <w:szCs w:val="18"/>
              </w:rPr>
            </w:pPr>
            <w:r w:rsidRPr="00BE005D">
              <w:rPr>
                <w:rFonts w:ascii="Arial" w:hAnsi="Arial" w:cs="Arial"/>
                <w:sz w:val="18"/>
                <w:szCs w:val="18"/>
              </w:rPr>
              <w:t>API (mm)</w:t>
            </w:r>
          </w:p>
        </w:tc>
      </w:tr>
      <w:tr w:rsidR="00A81995" w:rsidRPr="00BE005D" w14:paraId="336874DD" w14:textId="77777777" w:rsidTr="002E1D47">
        <w:trPr>
          <w:jc w:val="center"/>
        </w:trPr>
        <w:tc>
          <w:tcPr>
            <w:tcW w:w="1809" w:type="dxa"/>
            <w:tcBorders>
              <w:top w:val="single" w:sz="4" w:space="0" w:color="auto"/>
            </w:tcBorders>
          </w:tcPr>
          <w:p w14:paraId="2A81A4DA" w14:textId="77777777" w:rsidR="00A81995" w:rsidRPr="00BE005D" w:rsidRDefault="00A81995" w:rsidP="004E66E1">
            <w:pPr>
              <w:rPr>
                <w:rFonts w:ascii="Arial" w:hAnsi="Arial" w:cs="Arial"/>
                <w:sz w:val="18"/>
                <w:szCs w:val="18"/>
              </w:rPr>
            </w:pPr>
            <w:r w:rsidRPr="00BE005D">
              <w:rPr>
                <w:rFonts w:ascii="Arial" w:hAnsi="Arial" w:cs="Arial"/>
                <w:sz w:val="18"/>
                <w:szCs w:val="18"/>
              </w:rPr>
              <w:t>GIBI025</w:t>
            </w:r>
          </w:p>
        </w:tc>
        <w:tc>
          <w:tcPr>
            <w:tcW w:w="993" w:type="dxa"/>
            <w:tcBorders>
              <w:top w:val="single" w:sz="4" w:space="0" w:color="auto"/>
            </w:tcBorders>
          </w:tcPr>
          <w:p w14:paraId="4A9DFF42" w14:textId="4EA9F1BF" w:rsidR="00A81995" w:rsidRPr="00BE005D" w:rsidRDefault="00A81995" w:rsidP="004E66E1">
            <w:pPr>
              <w:jc w:val="center"/>
              <w:rPr>
                <w:rFonts w:ascii="Arial" w:hAnsi="Arial" w:cs="Arial"/>
                <w:sz w:val="18"/>
                <w:szCs w:val="18"/>
              </w:rPr>
            </w:pPr>
            <w:r w:rsidRPr="00BE005D">
              <w:rPr>
                <w:rFonts w:ascii="Arial" w:hAnsi="Arial" w:cs="Arial"/>
                <w:sz w:val="18"/>
                <w:szCs w:val="18"/>
              </w:rPr>
              <w:t>4</w:t>
            </w:r>
            <w:r w:rsidR="004D5D7E" w:rsidRPr="00BE005D">
              <w:rPr>
                <w:rFonts w:ascii="Arial" w:hAnsi="Arial" w:cs="Arial"/>
                <w:sz w:val="18"/>
                <w:szCs w:val="18"/>
              </w:rPr>
              <w:t>,</w:t>
            </w:r>
            <w:r w:rsidRPr="00BE005D">
              <w:rPr>
                <w:rFonts w:ascii="Arial" w:hAnsi="Arial" w:cs="Arial"/>
                <w:sz w:val="18"/>
                <w:szCs w:val="18"/>
              </w:rPr>
              <w:t>86a</w:t>
            </w:r>
          </w:p>
        </w:tc>
        <w:tc>
          <w:tcPr>
            <w:tcW w:w="1134" w:type="dxa"/>
            <w:tcBorders>
              <w:top w:val="single" w:sz="4" w:space="0" w:color="auto"/>
            </w:tcBorders>
          </w:tcPr>
          <w:p w14:paraId="2A566C6E" w14:textId="74235629" w:rsidR="00A81995" w:rsidRPr="00BE005D" w:rsidRDefault="00A81995" w:rsidP="004E66E1">
            <w:pPr>
              <w:jc w:val="center"/>
              <w:rPr>
                <w:rFonts w:ascii="Arial" w:hAnsi="Arial" w:cs="Arial"/>
                <w:sz w:val="18"/>
                <w:szCs w:val="18"/>
              </w:rPr>
            </w:pPr>
            <w:r w:rsidRPr="00BE005D">
              <w:rPr>
                <w:rFonts w:ascii="Arial" w:hAnsi="Arial" w:cs="Arial"/>
                <w:sz w:val="18"/>
                <w:szCs w:val="18"/>
              </w:rPr>
              <w:t>4</w:t>
            </w:r>
            <w:r w:rsidR="004D5D7E" w:rsidRPr="00BE005D">
              <w:rPr>
                <w:rFonts w:ascii="Arial" w:hAnsi="Arial" w:cs="Arial"/>
                <w:sz w:val="18"/>
                <w:szCs w:val="18"/>
              </w:rPr>
              <w:t>,</w:t>
            </w:r>
            <w:r w:rsidRPr="00BE005D">
              <w:rPr>
                <w:rFonts w:ascii="Arial" w:hAnsi="Arial" w:cs="Arial"/>
                <w:sz w:val="18"/>
                <w:szCs w:val="18"/>
              </w:rPr>
              <w:t>86a</w:t>
            </w:r>
          </w:p>
        </w:tc>
        <w:tc>
          <w:tcPr>
            <w:tcW w:w="992" w:type="dxa"/>
            <w:tcBorders>
              <w:top w:val="single" w:sz="4" w:space="0" w:color="auto"/>
            </w:tcBorders>
          </w:tcPr>
          <w:p w14:paraId="508A8F8D" w14:textId="37594F9E" w:rsidR="00A81995" w:rsidRPr="00BE005D" w:rsidRDefault="00A81995" w:rsidP="004E66E1">
            <w:pPr>
              <w:jc w:val="center"/>
              <w:rPr>
                <w:rFonts w:ascii="Arial" w:hAnsi="Arial" w:cs="Arial"/>
                <w:sz w:val="18"/>
                <w:szCs w:val="18"/>
              </w:rPr>
            </w:pPr>
            <w:r w:rsidRPr="00BE005D">
              <w:rPr>
                <w:rFonts w:ascii="Arial" w:hAnsi="Arial" w:cs="Arial"/>
                <w:sz w:val="18"/>
                <w:szCs w:val="18"/>
              </w:rPr>
              <w:t>1</w:t>
            </w:r>
            <w:r w:rsidR="004D5D7E" w:rsidRPr="00BE005D">
              <w:rPr>
                <w:rFonts w:ascii="Arial" w:hAnsi="Arial" w:cs="Arial"/>
                <w:sz w:val="18"/>
                <w:szCs w:val="18"/>
              </w:rPr>
              <w:t>,</w:t>
            </w:r>
            <w:r w:rsidRPr="00BE005D">
              <w:rPr>
                <w:rFonts w:ascii="Arial" w:hAnsi="Arial" w:cs="Arial"/>
                <w:sz w:val="18"/>
                <w:szCs w:val="18"/>
              </w:rPr>
              <w:t>67</w:t>
            </w:r>
          </w:p>
        </w:tc>
        <w:tc>
          <w:tcPr>
            <w:tcW w:w="1134" w:type="dxa"/>
            <w:tcBorders>
              <w:top w:val="single" w:sz="4" w:space="0" w:color="auto"/>
            </w:tcBorders>
          </w:tcPr>
          <w:p w14:paraId="6EB1FB06" w14:textId="5169A1D4" w:rsidR="00A81995" w:rsidRPr="00BE005D" w:rsidRDefault="00A81995" w:rsidP="004E66E1">
            <w:pPr>
              <w:jc w:val="center"/>
              <w:rPr>
                <w:rFonts w:ascii="Arial" w:hAnsi="Arial" w:cs="Arial"/>
                <w:sz w:val="18"/>
                <w:szCs w:val="18"/>
              </w:rPr>
            </w:pPr>
            <w:r w:rsidRPr="00BE005D">
              <w:rPr>
                <w:rFonts w:ascii="Arial" w:hAnsi="Arial" w:cs="Arial"/>
                <w:sz w:val="18"/>
                <w:szCs w:val="18"/>
              </w:rPr>
              <w:t>15</w:t>
            </w:r>
            <w:r w:rsidR="004D5D7E" w:rsidRPr="00BE005D">
              <w:rPr>
                <w:rFonts w:ascii="Arial" w:hAnsi="Arial" w:cs="Arial"/>
                <w:sz w:val="18"/>
                <w:szCs w:val="18"/>
              </w:rPr>
              <w:t>,</w:t>
            </w:r>
            <w:r w:rsidRPr="00BE005D">
              <w:rPr>
                <w:rFonts w:ascii="Arial" w:hAnsi="Arial" w:cs="Arial"/>
                <w:sz w:val="18"/>
                <w:szCs w:val="18"/>
              </w:rPr>
              <w:t>00</w:t>
            </w:r>
          </w:p>
        </w:tc>
        <w:tc>
          <w:tcPr>
            <w:tcW w:w="992" w:type="dxa"/>
            <w:tcBorders>
              <w:top w:val="single" w:sz="4" w:space="0" w:color="auto"/>
            </w:tcBorders>
          </w:tcPr>
          <w:p w14:paraId="3CF7F71D" w14:textId="0F287206" w:rsidR="00A81995" w:rsidRPr="00BE005D" w:rsidRDefault="00A81995" w:rsidP="004E66E1">
            <w:pPr>
              <w:jc w:val="center"/>
              <w:rPr>
                <w:rFonts w:ascii="Arial" w:hAnsi="Arial" w:cs="Arial"/>
                <w:sz w:val="18"/>
                <w:szCs w:val="18"/>
              </w:rPr>
            </w:pPr>
            <w:r w:rsidRPr="00BE005D">
              <w:rPr>
                <w:rFonts w:ascii="Arial" w:hAnsi="Arial" w:cs="Arial"/>
                <w:sz w:val="18"/>
                <w:szCs w:val="18"/>
              </w:rPr>
              <w:t>1</w:t>
            </w:r>
            <w:r w:rsidR="004D5D7E" w:rsidRPr="00BE005D">
              <w:rPr>
                <w:rFonts w:ascii="Arial" w:hAnsi="Arial" w:cs="Arial"/>
                <w:sz w:val="18"/>
                <w:szCs w:val="18"/>
              </w:rPr>
              <w:t>,</w:t>
            </w:r>
            <w:r w:rsidRPr="00BE005D">
              <w:rPr>
                <w:rFonts w:ascii="Arial" w:hAnsi="Arial" w:cs="Arial"/>
                <w:sz w:val="18"/>
                <w:szCs w:val="18"/>
              </w:rPr>
              <w:t>43</w:t>
            </w:r>
          </w:p>
        </w:tc>
        <w:tc>
          <w:tcPr>
            <w:tcW w:w="1134" w:type="dxa"/>
            <w:tcBorders>
              <w:top w:val="single" w:sz="4" w:space="0" w:color="auto"/>
            </w:tcBorders>
          </w:tcPr>
          <w:p w14:paraId="0FCFD699" w14:textId="14958541" w:rsidR="00A81995" w:rsidRPr="00BE005D" w:rsidRDefault="00A81995" w:rsidP="004E66E1">
            <w:pPr>
              <w:jc w:val="center"/>
              <w:rPr>
                <w:rFonts w:ascii="Arial" w:hAnsi="Arial" w:cs="Arial"/>
                <w:sz w:val="18"/>
                <w:szCs w:val="18"/>
              </w:rPr>
            </w:pPr>
            <w:r w:rsidRPr="00BE005D">
              <w:rPr>
                <w:rFonts w:ascii="Arial" w:hAnsi="Arial" w:cs="Arial"/>
                <w:sz w:val="18"/>
                <w:szCs w:val="18"/>
              </w:rPr>
              <w:t>12</w:t>
            </w:r>
            <w:r w:rsidR="004D5D7E" w:rsidRPr="00BE005D">
              <w:rPr>
                <w:rFonts w:ascii="Arial" w:hAnsi="Arial" w:cs="Arial"/>
                <w:sz w:val="18"/>
                <w:szCs w:val="18"/>
              </w:rPr>
              <w:t>,</w:t>
            </w:r>
            <w:r w:rsidRPr="00BE005D">
              <w:rPr>
                <w:rFonts w:ascii="Arial" w:hAnsi="Arial" w:cs="Arial"/>
                <w:sz w:val="18"/>
                <w:szCs w:val="18"/>
              </w:rPr>
              <w:t>86</w:t>
            </w:r>
          </w:p>
        </w:tc>
      </w:tr>
      <w:tr w:rsidR="00A81995" w:rsidRPr="00BE005D" w14:paraId="4FF9D5EB" w14:textId="77777777" w:rsidTr="002E1D47">
        <w:trPr>
          <w:jc w:val="center"/>
        </w:trPr>
        <w:tc>
          <w:tcPr>
            <w:tcW w:w="1809" w:type="dxa"/>
          </w:tcPr>
          <w:p w14:paraId="49580E7D" w14:textId="77777777" w:rsidR="00A81995" w:rsidRPr="00BE005D" w:rsidRDefault="00A81995" w:rsidP="004E66E1">
            <w:pPr>
              <w:rPr>
                <w:rFonts w:ascii="Arial" w:hAnsi="Arial" w:cs="Arial"/>
                <w:sz w:val="18"/>
                <w:szCs w:val="18"/>
              </w:rPr>
            </w:pPr>
            <w:r w:rsidRPr="00BE005D">
              <w:rPr>
                <w:rFonts w:ascii="Arial" w:hAnsi="Arial" w:cs="Arial"/>
                <w:sz w:val="18"/>
                <w:szCs w:val="18"/>
              </w:rPr>
              <w:t>GIBI029</w:t>
            </w:r>
          </w:p>
        </w:tc>
        <w:tc>
          <w:tcPr>
            <w:tcW w:w="993" w:type="dxa"/>
          </w:tcPr>
          <w:p w14:paraId="5230A0D5" w14:textId="2BF8DF6A" w:rsidR="00A81995" w:rsidRPr="00BE005D" w:rsidRDefault="00A81995" w:rsidP="004E66E1">
            <w:pPr>
              <w:jc w:val="center"/>
              <w:rPr>
                <w:rFonts w:ascii="Arial" w:hAnsi="Arial" w:cs="Arial"/>
                <w:sz w:val="18"/>
                <w:szCs w:val="18"/>
              </w:rPr>
            </w:pPr>
            <w:r w:rsidRPr="00BE005D">
              <w:rPr>
                <w:rFonts w:ascii="Arial" w:hAnsi="Arial" w:cs="Arial"/>
                <w:sz w:val="18"/>
                <w:szCs w:val="18"/>
              </w:rPr>
              <w:t>4</w:t>
            </w:r>
            <w:r w:rsidR="004D5D7E" w:rsidRPr="00BE005D">
              <w:rPr>
                <w:rFonts w:ascii="Arial" w:hAnsi="Arial" w:cs="Arial"/>
                <w:sz w:val="18"/>
                <w:szCs w:val="18"/>
              </w:rPr>
              <w:t>,</w:t>
            </w:r>
            <w:r w:rsidRPr="00BE005D">
              <w:rPr>
                <w:rFonts w:ascii="Arial" w:hAnsi="Arial" w:cs="Arial"/>
                <w:sz w:val="18"/>
                <w:szCs w:val="18"/>
              </w:rPr>
              <w:t>19b</w:t>
            </w:r>
          </w:p>
        </w:tc>
        <w:tc>
          <w:tcPr>
            <w:tcW w:w="1134" w:type="dxa"/>
          </w:tcPr>
          <w:p w14:paraId="2E96F9E6" w14:textId="372D19EF" w:rsidR="00A81995" w:rsidRPr="00BE005D" w:rsidRDefault="00A81995" w:rsidP="004E66E1">
            <w:pPr>
              <w:jc w:val="center"/>
              <w:rPr>
                <w:rFonts w:ascii="Arial" w:hAnsi="Arial" w:cs="Arial"/>
                <w:sz w:val="18"/>
                <w:szCs w:val="18"/>
              </w:rPr>
            </w:pPr>
            <w:r w:rsidRPr="00BE005D">
              <w:rPr>
                <w:rFonts w:ascii="Arial" w:hAnsi="Arial" w:cs="Arial"/>
                <w:sz w:val="18"/>
                <w:szCs w:val="18"/>
              </w:rPr>
              <w:t>4</w:t>
            </w:r>
            <w:r w:rsidR="004D5D7E" w:rsidRPr="00BE005D">
              <w:rPr>
                <w:rFonts w:ascii="Arial" w:hAnsi="Arial" w:cs="Arial"/>
                <w:sz w:val="18"/>
                <w:szCs w:val="18"/>
              </w:rPr>
              <w:t>,</w:t>
            </w:r>
            <w:r w:rsidRPr="00BE005D">
              <w:rPr>
                <w:rFonts w:ascii="Arial" w:hAnsi="Arial" w:cs="Arial"/>
                <w:sz w:val="18"/>
                <w:szCs w:val="18"/>
              </w:rPr>
              <w:t>19b</w:t>
            </w:r>
          </w:p>
        </w:tc>
        <w:tc>
          <w:tcPr>
            <w:tcW w:w="992" w:type="dxa"/>
          </w:tcPr>
          <w:p w14:paraId="70FDC352" w14:textId="37C03461" w:rsidR="00A81995" w:rsidRPr="00BE005D" w:rsidRDefault="00A81995" w:rsidP="004E66E1">
            <w:pPr>
              <w:jc w:val="center"/>
              <w:rPr>
                <w:rFonts w:ascii="Arial" w:hAnsi="Arial" w:cs="Arial"/>
                <w:sz w:val="18"/>
                <w:szCs w:val="18"/>
              </w:rPr>
            </w:pPr>
            <w:r w:rsidRPr="00BE005D">
              <w:rPr>
                <w:rFonts w:ascii="Arial" w:hAnsi="Arial" w:cs="Arial"/>
                <w:sz w:val="18"/>
                <w:szCs w:val="18"/>
              </w:rPr>
              <w:t>1</w:t>
            </w:r>
            <w:r w:rsidR="004D5D7E" w:rsidRPr="00BE005D">
              <w:rPr>
                <w:rFonts w:ascii="Arial" w:hAnsi="Arial" w:cs="Arial"/>
                <w:sz w:val="18"/>
                <w:szCs w:val="18"/>
              </w:rPr>
              <w:t>,</w:t>
            </w:r>
            <w:r w:rsidRPr="00BE005D">
              <w:rPr>
                <w:rFonts w:ascii="Arial" w:hAnsi="Arial" w:cs="Arial"/>
                <w:sz w:val="18"/>
                <w:szCs w:val="18"/>
              </w:rPr>
              <w:t>67</w:t>
            </w:r>
          </w:p>
        </w:tc>
        <w:tc>
          <w:tcPr>
            <w:tcW w:w="1134" w:type="dxa"/>
          </w:tcPr>
          <w:p w14:paraId="523B07AA" w14:textId="23B9EEAB" w:rsidR="00A81995" w:rsidRPr="00BE005D" w:rsidRDefault="00A81995" w:rsidP="004E66E1">
            <w:pPr>
              <w:jc w:val="center"/>
              <w:rPr>
                <w:rFonts w:ascii="Arial" w:hAnsi="Arial" w:cs="Arial"/>
                <w:sz w:val="18"/>
                <w:szCs w:val="18"/>
              </w:rPr>
            </w:pPr>
            <w:r w:rsidRPr="00BE005D">
              <w:rPr>
                <w:rFonts w:ascii="Arial" w:hAnsi="Arial" w:cs="Arial"/>
                <w:sz w:val="18"/>
                <w:szCs w:val="18"/>
              </w:rPr>
              <w:t>15</w:t>
            </w:r>
            <w:r w:rsidR="004D5D7E" w:rsidRPr="00BE005D">
              <w:rPr>
                <w:rFonts w:ascii="Arial" w:hAnsi="Arial" w:cs="Arial"/>
                <w:sz w:val="18"/>
                <w:szCs w:val="18"/>
              </w:rPr>
              <w:t>,</w:t>
            </w:r>
            <w:r w:rsidRPr="00BE005D">
              <w:rPr>
                <w:rFonts w:ascii="Arial" w:hAnsi="Arial" w:cs="Arial"/>
                <w:sz w:val="18"/>
                <w:szCs w:val="18"/>
              </w:rPr>
              <w:t>00</w:t>
            </w:r>
          </w:p>
        </w:tc>
        <w:tc>
          <w:tcPr>
            <w:tcW w:w="992" w:type="dxa"/>
          </w:tcPr>
          <w:p w14:paraId="3DA1EDBC" w14:textId="483BCD39" w:rsidR="00A81995" w:rsidRPr="00BE005D" w:rsidRDefault="00A81995" w:rsidP="004E66E1">
            <w:pPr>
              <w:jc w:val="center"/>
              <w:rPr>
                <w:rFonts w:ascii="Arial" w:hAnsi="Arial" w:cs="Arial"/>
                <w:sz w:val="18"/>
                <w:szCs w:val="18"/>
              </w:rPr>
            </w:pPr>
            <w:r w:rsidRPr="00BE005D">
              <w:rPr>
                <w:rFonts w:ascii="Arial" w:hAnsi="Arial" w:cs="Arial"/>
                <w:sz w:val="18"/>
                <w:szCs w:val="18"/>
              </w:rPr>
              <w:t>1</w:t>
            </w:r>
            <w:r w:rsidR="004D5D7E" w:rsidRPr="00BE005D">
              <w:rPr>
                <w:rFonts w:ascii="Arial" w:hAnsi="Arial" w:cs="Arial"/>
                <w:sz w:val="18"/>
                <w:szCs w:val="18"/>
              </w:rPr>
              <w:t>,</w:t>
            </w:r>
            <w:r w:rsidRPr="00BE005D">
              <w:rPr>
                <w:rFonts w:ascii="Arial" w:hAnsi="Arial" w:cs="Arial"/>
                <w:sz w:val="18"/>
                <w:szCs w:val="18"/>
              </w:rPr>
              <w:t>43</w:t>
            </w:r>
          </w:p>
        </w:tc>
        <w:tc>
          <w:tcPr>
            <w:tcW w:w="1134" w:type="dxa"/>
          </w:tcPr>
          <w:p w14:paraId="082A0B22" w14:textId="1142BF1F" w:rsidR="00A81995" w:rsidRPr="00BE005D" w:rsidRDefault="00A81995" w:rsidP="004E66E1">
            <w:pPr>
              <w:jc w:val="center"/>
              <w:rPr>
                <w:rFonts w:ascii="Arial" w:hAnsi="Arial" w:cs="Arial"/>
                <w:sz w:val="18"/>
                <w:szCs w:val="18"/>
              </w:rPr>
            </w:pPr>
            <w:r w:rsidRPr="00BE005D">
              <w:rPr>
                <w:rFonts w:ascii="Arial" w:hAnsi="Arial" w:cs="Arial"/>
                <w:sz w:val="18"/>
                <w:szCs w:val="18"/>
              </w:rPr>
              <w:t>12</w:t>
            </w:r>
            <w:r w:rsidR="004D5D7E" w:rsidRPr="00BE005D">
              <w:rPr>
                <w:rFonts w:ascii="Arial" w:hAnsi="Arial" w:cs="Arial"/>
                <w:sz w:val="18"/>
                <w:szCs w:val="18"/>
              </w:rPr>
              <w:t>,</w:t>
            </w:r>
            <w:r w:rsidRPr="00BE005D">
              <w:rPr>
                <w:rFonts w:ascii="Arial" w:hAnsi="Arial" w:cs="Arial"/>
                <w:sz w:val="18"/>
                <w:szCs w:val="18"/>
              </w:rPr>
              <w:t>86</w:t>
            </w:r>
          </w:p>
        </w:tc>
      </w:tr>
      <w:tr w:rsidR="00A81995" w:rsidRPr="00BE005D" w14:paraId="42AF0DD5" w14:textId="77777777" w:rsidTr="002E1D47">
        <w:trPr>
          <w:trHeight w:val="72"/>
          <w:jc w:val="center"/>
        </w:trPr>
        <w:tc>
          <w:tcPr>
            <w:tcW w:w="1809" w:type="dxa"/>
          </w:tcPr>
          <w:p w14:paraId="3E90658C" w14:textId="77777777" w:rsidR="00A81995" w:rsidRPr="00BE005D" w:rsidRDefault="00A81995" w:rsidP="004E66E1">
            <w:pPr>
              <w:rPr>
                <w:rFonts w:ascii="Arial" w:hAnsi="Arial" w:cs="Arial"/>
                <w:sz w:val="18"/>
                <w:szCs w:val="18"/>
              </w:rPr>
            </w:pPr>
            <w:r w:rsidRPr="00BE005D">
              <w:rPr>
                <w:rFonts w:ascii="Arial" w:hAnsi="Arial" w:cs="Arial"/>
                <w:sz w:val="18"/>
                <w:szCs w:val="18"/>
              </w:rPr>
              <w:t>ATCC 49037</w:t>
            </w:r>
          </w:p>
        </w:tc>
        <w:tc>
          <w:tcPr>
            <w:tcW w:w="993" w:type="dxa"/>
          </w:tcPr>
          <w:p w14:paraId="44948925" w14:textId="5A26A5E7" w:rsidR="00A81995" w:rsidRPr="00BE005D" w:rsidRDefault="00A81995" w:rsidP="004E66E1">
            <w:pPr>
              <w:jc w:val="center"/>
              <w:rPr>
                <w:rFonts w:ascii="Arial" w:hAnsi="Arial" w:cs="Arial"/>
                <w:sz w:val="18"/>
                <w:szCs w:val="18"/>
              </w:rPr>
            </w:pPr>
            <w:r w:rsidRPr="00BE005D">
              <w:rPr>
                <w:rFonts w:ascii="Arial" w:hAnsi="Arial" w:cs="Arial"/>
                <w:sz w:val="18"/>
                <w:szCs w:val="18"/>
              </w:rPr>
              <w:t>4</w:t>
            </w:r>
            <w:r w:rsidR="004D5D7E" w:rsidRPr="00BE005D">
              <w:rPr>
                <w:rFonts w:ascii="Arial" w:hAnsi="Arial" w:cs="Arial"/>
                <w:sz w:val="18"/>
                <w:szCs w:val="18"/>
              </w:rPr>
              <w:t>,</w:t>
            </w:r>
            <w:r w:rsidRPr="00BE005D">
              <w:rPr>
                <w:rFonts w:ascii="Arial" w:hAnsi="Arial" w:cs="Arial"/>
                <w:sz w:val="18"/>
                <w:szCs w:val="18"/>
              </w:rPr>
              <w:t>14b</w:t>
            </w:r>
          </w:p>
        </w:tc>
        <w:tc>
          <w:tcPr>
            <w:tcW w:w="1134" w:type="dxa"/>
          </w:tcPr>
          <w:p w14:paraId="115E2FC1" w14:textId="7B214097" w:rsidR="00A81995" w:rsidRPr="00BE005D" w:rsidRDefault="00A81995" w:rsidP="004E66E1">
            <w:pPr>
              <w:jc w:val="center"/>
              <w:rPr>
                <w:rFonts w:ascii="Arial" w:hAnsi="Arial" w:cs="Arial"/>
                <w:sz w:val="18"/>
                <w:szCs w:val="18"/>
              </w:rPr>
            </w:pPr>
            <w:r w:rsidRPr="00BE005D">
              <w:rPr>
                <w:rFonts w:ascii="Arial" w:hAnsi="Arial" w:cs="Arial"/>
                <w:sz w:val="18"/>
                <w:szCs w:val="18"/>
              </w:rPr>
              <w:t>4</w:t>
            </w:r>
            <w:r w:rsidR="004D5D7E" w:rsidRPr="00BE005D">
              <w:rPr>
                <w:rFonts w:ascii="Arial" w:hAnsi="Arial" w:cs="Arial"/>
                <w:sz w:val="18"/>
                <w:szCs w:val="18"/>
              </w:rPr>
              <w:t>,</w:t>
            </w:r>
            <w:r w:rsidRPr="00BE005D">
              <w:rPr>
                <w:rFonts w:ascii="Arial" w:hAnsi="Arial" w:cs="Arial"/>
                <w:sz w:val="18"/>
                <w:szCs w:val="18"/>
              </w:rPr>
              <w:t>14b</w:t>
            </w:r>
          </w:p>
        </w:tc>
        <w:tc>
          <w:tcPr>
            <w:tcW w:w="992" w:type="dxa"/>
          </w:tcPr>
          <w:p w14:paraId="655AB463" w14:textId="799D82FE" w:rsidR="00A81995" w:rsidRPr="00BE005D" w:rsidRDefault="00A81995" w:rsidP="004E66E1">
            <w:pPr>
              <w:jc w:val="center"/>
              <w:rPr>
                <w:rFonts w:ascii="Arial" w:hAnsi="Arial" w:cs="Arial"/>
                <w:sz w:val="18"/>
                <w:szCs w:val="18"/>
              </w:rPr>
            </w:pPr>
            <w:r w:rsidRPr="00BE005D">
              <w:rPr>
                <w:rFonts w:ascii="Arial" w:hAnsi="Arial" w:cs="Arial"/>
                <w:sz w:val="18"/>
                <w:szCs w:val="18"/>
              </w:rPr>
              <w:t>1</w:t>
            </w:r>
            <w:r w:rsidR="004D5D7E" w:rsidRPr="00BE005D">
              <w:rPr>
                <w:rFonts w:ascii="Arial" w:hAnsi="Arial" w:cs="Arial"/>
                <w:sz w:val="18"/>
                <w:szCs w:val="18"/>
              </w:rPr>
              <w:t>,</w:t>
            </w:r>
            <w:r w:rsidRPr="00BE005D">
              <w:rPr>
                <w:rFonts w:ascii="Arial" w:hAnsi="Arial" w:cs="Arial"/>
                <w:sz w:val="18"/>
                <w:szCs w:val="18"/>
              </w:rPr>
              <w:t>67</w:t>
            </w:r>
          </w:p>
        </w:tc>
        <w:tc>
          <w:tcPr>
            <w:tcW w:w="1134" w:type="dxa"/>
          </w:tcPr>
          <w:p w14:paraId="63C7196C" w14:textId="0EA606A4" w:rsidR="00A81995" w:rsidRPr="00BE005D" w:rsidRDefault="00A81995" w:rsidP="004E66E1">
            <w:pPr>
              <w:jc w:val="center"/>
              <w:rPr>
                <w:rFonts w:ascii="Arial" w:hAnsi="Arial" w:cs="Arial"/>
                <w:sz w:val="18"/>
                <w:szCs w:val="18"/>
              </w:rPr>
            </w:pPr>
            <w:r w:rsidRPr="00BE005D">
              <w:rPr>
                <w:rFonts w:ascii="Arial" w:hAnsi="Arial" w:cs="Arial"/>
                <w:sz w:val="18"/>
                <w:szCs w:val="18"/>
              </w:rPr>
              <w:t>15</w:t>
            </w:r>
            <w:r w:rsidR="004D5D7E" w:rsidRPr="00BE005D">
              <w:rPr>
                <w:rFonts w:ascii="Arial" w:hAnsi="Arial" w:cs="Arial"/>
                <w:sz w:val="18"/>
                <w:szCs w:val="18"/>
              </w:rPr>
              <w:t>,</w:t>
            </w:r>
            <w:r w:rsidRPr="00BE005D">
              <w:rPr>
                <w:rFonts w:ascii="Arial" w:hAnsi="Arial" w:cs="Arial"/>
                <w:sz w:val="18"/>
                <w:szCs w:val="18"/>
              </w:rPr>
              <w:t>00</w:t>
            </w:r>
          </w:p>
        </w:tc>
        <w:tc>
          <w:tcPr>
            <w:tcW w:w="992" w:type="dxa"/>
          </w:tcPr>
          <w:p w14:paraId="68272DCE" w14:textId="71259D58" w:rsidR="00A81995" w:rsidRPr="00BE005D" w:rsidRDefault="00A81995" w:rsidP="004E66E1">
            <w:pPr>
              <w:jc w:val="center"/>
              <w:rPr>
                <w:rFonts w:ascii="Arial" w:hAnsi="Arial" w:cs="Arial"/>
                <w:sz w:val="18"/>
                <w:szCs w:val="18"/>
              </w:rPr>
            </w:pPr>
            <w:r w:rsidRPr="00BE005D">
              <w:rPr>
                <w:rFonts w:ascii="Arial" w:hAnsi="Arial" w:cs="Arial"/>
                <w:sz w:val="18"/>
                <w:szCs w:val="18"/>
              </w:rPr>
              <w:t>1</w:t>
            </w:r>
            <w:r w:rsidR="004D5D7E" w:rsidRPr="00BE005D">
              <w:rPr>
                <w:rFonts w:ascii="Arial" w:hAnsi="Arial" w:cs="Arial"/>
                <w:sz w:val="18"/>
                <w:szCs w:val="18"/>
              </w:rPr>
              <w:t>,</w:t>
            </w:r>
            <w:r w:rsidRPr="00BE005D">
              <w:rPr>
                <w:rFonts w:ascii="Arial" w:hAnsi="Arial" w:cs="Arial"/>
                <w:sz w:val="18"/>
                <w:szCs w:val="18"/>
              </w:rPr>
              <w:t>43</w:t>
            </w:r>
          </w:p>
        </w:tc>
        <w:tc>
          <w:tcPr>
            <w:tcW w:w="1134" w:type="dxa"/>
          </w:tcPr>
          <w:p w14:paraId="4215356A" w14:textId="5ABFDE82" w:rsidR="00A81995" w:rsidRPr="00BE005D" w:rsidRDefault="00A81995" w:rsidP="004E66E1">
            <w:pPr>
              <w:jc w:val="center"/>
              <w:rPr>
                <w:rFonts w:ascii="Arial" w:hAnsi="Arial" w:cs="Arial"/>
                <w:sz w:val="18"/>
                <w:szCs w:val="18"/>
              </w:rPr>
            </w:pPr>
            <w:r w:rsidRPr="00BE005D">
              <w:rPr>
                <w:rFonts w:ascii="Arial" w:hAnsi="Arial" w:cs="Arial"/>
                <w:sz w:val="18"/>
                <w:szCs w:val="18"/>
              </w:rPr>
              <w:t>12</w:t>
            </w:r>
            <w:r w:rsidR="004D5D7E" w:rsidRPr="00BE005D">
              <w:rPr>
                <w:rFonts w:ascii="Arial" w:hAnsi="Arial" w:cs="Arial"/>
                <w:sz w:val="18"/>
                <w:szCs w:val="18"/>
              </w:rPr>
              <w:t>,</w:t>
            </w:r>
            <w:r w:rsidRPr="00BE005D">
              <w:rPr>
                <w:rFonts w:ascii="Arial" w:hAnsi="Arial" w:cs="Arial"/>
                <w:sz w:val="18"/>
                <w:szCs w:val="18"/>
              </w:rPr>
              <w:t>86</w:t>
            </w:r>
          </w:p>
        </w:tc>
      </w:tr>
    </w:tbl>
    <w:p w14:paraId="50B2748D" w14:textId="77777777" w:rsidR="00A81995" w:rsidRPr="00BE005D" w:rsidRDefault="00A81995" w:rsidP="008C5E2C">
      <w:pPr>
        <w:pStyle w:val="NormalWeb"/>
        <w:spacing w:before="0" w:beforeAutospacing="0" w:after="0" w:afterAutospacing="0"/>
        <w:jc w:val="both"/>
        <w:rPr>
          <w:rFonts w:ascii="Arial" w:hAnsi="Arial" w:cs="Arial"/>
          <w:lang w:val="en-US"/>
        </w:rPr>
      </w:pPr>
      <w:r w:rsidRPr="00BE005D">
        <w:rPr>
          <w:rFonts w:ascii="Arial" w:hAnsi="Arial" w:cs="Arial"/>
          <w:sz w:val="18"/>
          <w:szCs w:val="18"/>
          <w:lang w:val="en-US"/>
        </w:rPr>
        <w:lastRenderedPageBreak/>
        <w:t xml:space="preserve">*Similar letters did not differ significantly according to the Duncan´s least significant difference (LSD) test with a </w:t>
      </w:r>
      <w:r w:rsidRPr="00BE005D">
        <w:rPr>
          <w:rFonts w:ascii="Arial" w:hAnsi="Arial" w:cs="Arial"/>
          <w:i/>
          <w:iCs/>
          <w:sz w:val="18"/>
          <w:szCs w:val="18"/>
          <w:lang w:val="en-US"/>
        </w:rPr>
        <w:t>p</w:t>
      </w:r>
      <w:r w:rsidRPr="00BE005D">
        <w:rPr>
          <w:rFonts w:ascii="Arial" w:hAnsi="Arial" w:cs="Arial"/>
          <w:sz w:val="18"/>
          <w:szCs w:val="18"/>
          <w:lang w:val="en-US"/>
        </w:rPr>
        <w:t>-value of 0.05.</w:t>
      </w:r>
    </w:p>
    <w:p w14:paraId="692E2CB2" w14:textId="77777777" w:rsidR="00A81995" w:rsidRPr="00BE005D" w:rsidRDefault="00A81995" w:rsidP="004E66E1">
      <w:pPr>
        <w:rPr>
          <w:rFonts w:ascii="Arial" w:hAnsi="Arial" w:cs="Arial"/>
          <w:sz w:val="18"/>
          <w:szCs w:val="18"/>
          <w:vertAlign w:val="subscript"/>
          <w:lang w:val="en-US"/>
        </w:rPr>
      </w:pPr>
      <w:r w:rsidRPr="00BE005D">
        <w:rPr>
          <w:rFonts w:ascii="Arial" w:hAnsi="Arial" w:cs="Arial"/>
          <w:sz w:val="18"/>
          <w:szCs w:val="18"/>
          <w:lang w:val="en-US"/>
        </w:rPr>
        <w:t>**These values correspond to the average of three technical replicates.</w:t>
      </w:r>
    </w:p>
    <w:p w14:paraId="3B4C5E45" w14:textId="77777777" w:rsidR="004E66E1" w:rsidRPr="00BE005D" w:rsidRDefault="004E66E1" w:rsidP="005416C1">
      <w:pPr>
        <w:jc w:val="both"/>
        <w:rPr>
          <w:rFonts w:ascii="Arial" w:hAnsi="Arial" w:cs="Arial"/>
          <w:b/>
          <w:lang w:val="en-US"/>
        </w:rPr>
      </w:pPr>
    </w:p>
    <w:p w14:paraId="610B7FB1" w14:textId="19325750" w:rsidR="005416C1" w:rsidRPr="00BE005D" w:rsidRDefault="005416C1" w:rsidP="005416C1">
      <w:pPr>
        <w:jc w:val="both"/>
        <w:rPr>
          <w:rFonts w:ascii="Arial" w:hAnsi="Arial" w:cs="Arial"/>
          <w:b/>
          <w:sz w:val="22"/>
          <w:szCs w:val="22"/>
          <w:lang w:val="en-US"/>
        </w:rPr>
      </w:pPr>
      <w:r w:rsidRPr="00BE005D">
        <w:rPr>
          <w:rFonts w:ascii="Arial" w:hAnsi="Arial" w:cs="Arial"/>
          <w:b/>
          <w:sz w:val="22"/>
          <w:szCs w:val="22"/>
          <w:lang w:val="en-US"/>
        </w:rPr>
        <w:t>Quantification of soluble P (orthophosphate)</w:t>
      </w:r>
    </w:p>
    <w:p w14:paraId="112EA250" w14:textId="77777777" w:rsidR="005416C1" w:rsidRPr="00BE005D" w:rsidRDefault="005416C1" w:rsidP="005416C1">
      <w:pPr>
        <w:jc w:val="both"/>
        <w:rPr>
          <w:rFonts w:ascii="Arial" w:hAnsi="Arial" w:cs="Arial"/>
          <w:b/>
          <w:sz w:val="22"/>
          <w:szCs w:val="22"/>
          <w:lang w:val="en-US"/>
        </w:rPr>
      </w:pPr>
    </w:p>
    <w:p w14:paraId="27BDA83A" w14:textId="67EB9BA3" w:rsidR="007F7A8F" w:rsidRPr="00BE005D" w:rsidRDefault="005416C1" w:rsidP="004B4F63">
      <w:pPr>
        <w:pStyle w:val="Descripcin"/>
        <w:rPr>
          <w:rFonts w:ascii="Arial" w:hAnsi="Arial" w:cs="Arial"/>
          <w:sz w:val="22"/>
          <w:szCs w:val="22"/>
          <w:lang w:val="en-US"/>
        </w:rPr>
      </w:pPr>
      <w:r w:rsidRPr="00BE005D">
        <w:rPr>
          <w:rFonts w:ascii="Arial" w:hAnsi="Arial" w:cs="Arial"/>
          <w:sz w:val="22"/>
          <w:szCs w:val="22"/>
          <w:lang w:val="en-US"/>
        </w:rPr>
        <w:t>The bacteria evaluated had the ability to solubilize Ca</w:t>
      </w:r>
      <w:r w:rsidRPr="00BE005D">
        <w:rPr>
          <w:rFonts w:ascii="Arial" w:hAnsi="Arial" w:cs="Arial"/>
          <w:sz w:val="22"/>
          <w:szCs w:val="22"/>
          <w:vertAlign w:val="subscript"/>
          <w:lang w:val="en-US"/>
        </w:rPr>
        <w:t>3</w:t>
      </w:r>
      <w:r w:rsidRPr="00BE005D">
        <w:rPr>
          <w:rFonts w:ascii="Arial" w:hAnsi="Arial" w:cs="Arial"/>
          <w:sz w:val="22"/>
          <w:szCs w:val="22"/>
          <w:lang w:val="en-US"/>
        </w:rPr>
        <w:t>(PO</w:t>
      </w:r>
      <w:r w:rsidRPr="00BE005D">
        <w:rPr>
          <w:rFonts w:ascii="Arial" w:hAnsi="Arial" w:cs="Arial"/>
          <w:sz w:val="22"/>
          <w:szCs w:val="22"/>
          <w:vertAlign w:val="subscript"/>
          <w:lang w:val="en-US"/>
        </w:rPr>
        <w:t>4</w:t>
      </w:r>
      <w:r w:rsidRPr="00BE005D">
        <w:rPr>
          <w:rFonts w:ascii="Arial" w:hAnsi="Arial" w:cs="Arial"/>
          <w:sz w:val="22"/>
          <w:szCs w:val="22"/>
          <w:lang w:val="en-US"/>
        </w:rPr>
        <w:t>)</w:t>
      </w:r>
      <w:r w:rsidRPr="00BE005D">
        <w:rPr>
          <w:rFonts w:ascii="Arial" w:hAnsi="Arial" w:cs="Arial"/>
          <w:sz w:val="22"/>
          <w:szCs w:val="22"/>
          <w:vertAlign w:val="subscript"/>
          <w:lang w:val="en-US"/>
        </w:rPr>
        <w:t>2</w:t>
      </w:r>
      <w:r w:rsidRPr="00BE005D">
        <w:rPr>
          <w:rFonts w:ascii="Arial" w:hAnsi="Arial" w:cs="Arial"/>
          <w:sz w:val="22"/>
          <w:szCs w:val="22"/>
          <w:lang w:val="en-US"/>
        </w:rPr>
        <w:t>, AlPO</w:t>
      </w:r>
      <w:r w:rsidRPr="00BE005D">
        <w:rPr>
          <w:rFonts w:ascii="Arial" w:hAnsi="Arial" w:cs="Arial"/>
          <w:sz w:val="22"/>
          <w:szCs w:val="22"/>
          <w:vertAlign w:val="subscript"/>
          <w:lang w:val="en-US"/>
        </w:rPr>
        <w:t>4</w:t>
      </w:r>
      <w:r w:rsidRPr="00BE005D">
        <w:rPr>
          <w:rFonts w:ascii="Arial" w:hAnsi="Arial" w:cs="Arial"/>
          <w:sz w:val="22"/>
          <w:szCs w:val="22"/>
          <w:lang w:val="en-US"/>
        </w:rPr>
        <w:t xml:space="preserve"> and FePO</w:t>
      </w:r>
      <w:r w:rsidRPr="00BE005D">
        <w:rPr>
          <w:rFonts w:ascii="Arial" w:hAnsi="Arial" w:cs="Arial"/>
          <w:sz w:val="22"/>
          <w:szCs w:val="22"/>
          <w:vertAlign w:val="subscript"/>
          <w:lang w:val="en-US"/>
        </w:rPr>
        <w:t>4</w:t>
      </w:r>
      <w:r w:rsidRPr="00BE005D">
        <w:rPr>
          <w:rFonts w:ascii="Arial" w:hAnsi="Arial" w:cs="Arial"/>
          <w:sz w:val="22"/>
          <w:szCs w:val="22"/>
          <w:lang w:val="en-US"/>
        </w:rPr>
        <w:t xml:space="preserve"> in submerged cultures. However, </w:t>
      </w:r>
      <w:r w:rsidRPr="00BE005D">
        <w:rPr>
          <w:rFonts w:ascii="Arial" w:hAnsi="Arial" w:cs="Arial"/>
          <w:i/>
          <w:sz w:val="22"/>
          <w:szCs w:val="22"/>
          <w:lang w:val="en-US"/>
        </w:rPr>
        <w:t xml:space="preserve">G diazotrophicus </w:t>
      </w:r>
      <w:r w:rsidRPr="00BE005D">
        <w:rPr>
          <w:rFonts w:ascii="Arial" w:hAnsi="Arial" w:cs="Arial"/>
          <w:sz w:val="22"/>
          <w:szCs w:val="22"/>
          <w:lang w:val="en-US"/>
        </w:rPr>
        <w:t>GIBI025 and GIBI029 reached maximum orthophosphate release faster compared to strain ATCC 49037 in the media studied. In the media supplemented with tricalcium phosphate, isolates GIBI025 and GIBI029 reached maximum production levels of soluble P of 474</w:t>
      </w:r>
      <w:r w:rsidR="007D6DBE" w:rsidRPr="00BE005D">
        <w:rPr>
          <w:rFonts w:ascii="Arial" w:hAnsi="Arial" w:cs="Arial"/>
          <w:sz w:val="22"/>
          <w:szCs w:val="22"/>
          <w:lang w:val="en-US"/>
        </w:rPr>
        <w:t>,</w:t>
      </w:r>
      <w:r w:rsidRPr="00BE005D">
        <w:rPr>
          <w:rFonts w:ascii="Arial" w:hAnsi="Arial" w:cs="Arial"/>
          <w:sz w:val="22"/>
          <w:szCs w:val="22"/>
          <w:lang w:val="en-US"/>
        </w:rPr>
        <w:t>47 and 458</w:t>
      </w:r>
      <w:r w:rsidR="007D6DBE" w:rsidRPr="00BE005D">
        <w:rPr>
          <w:rFonts w:ascii="Arial" w:hAnsi="Arial" w:cs="Arial"/>
          <w:sz w:val="22"/>
          <w:szCs w:val="22"/>
          <w:lang w:val="en-US"/>
        </w:rPr>
        <w:t>,</w:t>
      </w:r>
      <w:r w:rsidRPr="00BE005D">
        <w:rPr>
          <w:rFonts w:ascii="Arial" w:hAnsi="Arial" w:cs="Arial"/>
          <w:sz w:val="22"/>
          <w:szCs w:val="22"/>
          <w:lang w:val="en-US"/>
        </w:rPr>
        <w:t>27 mg/</w:t>
      </w:r>
      <w:r w:rsidR="007D6DBE" w:rsidRPr="00BE005D">
        <w:rPr>
          <w:rFonts w:ascii="Arial" w:hAnsi="Arial" w:cs="Arial"/>
          <w:sz w:val="22"/>
          <w:szCs w:val="22"/>
          <w:lang w:val="en-US"/>
        </w:rPr>
        <w:t>L</w:t>
      </w:r>
      <w:r w:rsidRPr="00BE005D">
        <w:rPr>
          <w:rFonts w:ascii="Arial" w:hAnsi="Arial" w:cs="Arial"/>
          <w:sz w:val="22"/>
          <w:szCs w:val="22"/>
          <w:lang w:val="en-US"/>
        </w:rPr>
        <w:t xml:space="preserve"> at 48 hours of incubation, respectively (Fig</w:t>
      </w:r>
      <w:r w:rsidR="00C83584" w:rsidRPr="00BE005D">
        <w:rPr>
          <w:rFonts w:ascii="Arial" w:hAnsi="Arial" w:cs="Arial"/>
          <w:sz w:val="22"/>
          <w:szCs w:val="22"/>
          <w:lang w:val="en-US"/>
        </w:rPr>
        <w:t>ure</w:t>
      </w:r>
      <w:r w:rsidRPr="00BE005D">
        <w:rPr>
          <w:rFonts w:ascii="Arial" w:hAnsi="Arial" w:cs="Arial"/>
          <w:sz w:val="22"/>
          <w:szCs w:val="22"/>
          <w:lang w:val="en-US"/>
        </w:rPr>
        <w:t xml:space="preserve"> 1). ATCC 49037 produced maximum release of P at 72 hours of incubation, with levels of 456</w:t>
      </w:r>
      <w:r w:rsidR="007D6DBE" w:rsidRPr="00BE005D">
        <w:rPr>
          <w:rFonts w:ascii="Arial" w:hAnsi="Arial" w:cs="Arial"/>
          <w:sz w:val="22"/>
          <w:szCs w:val="22"/>
          <w:lang w:val="en-US"/>
        </w:rPr>
        <w:t>,</w:t>
      </w:r>
      <w:r w:rsidRPr="00BE005D">
        <w:rPr>
          <w:rFonts w:ascii="Arial" w:hAnsi="Arial" w:cs="Arial"/>
          <w:sz w:val="22"/>
          <w:szCs w:val="22"/>
          <w:lang w:val="en-US"/>
        </w:rPr>
        <w:t>667 mg/</w:t>
      </w:r>
      <w:r w:rsidR="007D6DBE" w:rsidRPr="00BE005D">
        <w:rPr>
          <w:rFonts w:ascii="Arial" w:hAnsi="Arial" w:cs="Arial"/>
          <w:sz w:val="22"/>
          <w:szCs w:val="22"/>
          <w:lang w:val="en-US"/>
        </w:rPr>
        <w:t>L</w:t>
      </w:r>
      <w:r w:rsidRPr="00BE005D">
        <w:rPr>
          <w:rFonts w:ascii="Arial" w:hAnsi="Arial" w:cs="Arial"/>
          <w:sz w:val="22"/>
          <w:szCs w:val="22"/>
          <w:lang w:val="en-US"/>
        </w:rPr>
        <w:t xml:space="preserve"> (Fig</w:t>
      </w:r>
      <w:r w:rsidR="00F424EF" w:rsidRPr="00BE005D">
        <w:rPr>
          <w:rFonts w:ascii="Arial" w:hAnsi="Arial" w:cs="Arial"/>
          <w:sz w:val="22"/>
          <w:szCs w:val="22"/>
          <w:lang w:val="en-US"/>
        </w:rPr>
        <w:t>ure</w:t>
      </w:r>
      <w:r w:rsidRPr="00BE005D">
        <w:rPr>
          <w:rFonts w:ascii="Arial" w:hAnsi="Arial" w:cs="Arial"/>
          <w:sz w:val="22"/>
          <w:szCs w:val="22"/>
          <w:lang w:val="en-US"/>
        </w:rPr>
        <w:t xml:space="preserve"> 1c), which was overdue compared to the other isolates. </w:t>
      </w:r>
      <w:r w:rsidR="00C22DBA" w:rsidRPr="00BE005D">
        <w:rPr>
          <w:rFonts w:ascii="Arial" w:hAnsi="Arial" w:cs="Arial"/>
          <w:sz w:val="22"/>
          <w:szCs w:val="22"/>
          <w:lang w:val="en-US"/>
        </w:rPr>
        <w:t>These values correspond to the average of three technical replica.</w:t>
      </w:r>
    </w:p>
    <w:p w14:paraId="30765F9C" w14:textId="77777777" w:rsidR="007F7A8F" w:rsidRPr="00BE005D" w:rsidRDefault="007F7A8F" w:rsidP="00F12021">
      <w:pPr>
        <w:rPr>
          <w:rFonts w:ascii="Arial" w:hAnsi="Arial" w:cs="Arial"/>
          <w:lang w:val="en-U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067"/>
      </w:tblGrid>
      <w:tr w:rsidR="00F12021" w:rsidRPr="00BE005D" w14:paraId="75B1F6FF" w14:textId="77777777" w:rsidTr="002E1D47">
        <w:trPr>
          <w:trHeight w:val="274"/>
        </w:trPr>
        <w:tc>
          <w:tcPr>
            <w:tcW w:w="9067" w:type="dxa"/>
          </w:tcPr>
          <w:p w14:paraId="5C1A3D63" w14:textId="77777777" w:rsidR="00F12021" w:rsidRPr="00BE005D" w:rsidRDefault="00F12021" w:rsidP="00F12021">
            <w:pPr>
              <w:rPr>
                <w:rFonts w:ascii="Arial" w:hAnsi="Arial" w:cs="Arial"/>
                <w:noProof/>
              </w:rPr>
            </w:pPr>
            <w:r w:rsidRPr="00BE005D">
              <w:rPr>
                <w:rFonts w:ascii="Arial" w:hAnsi="Arial" w:cs="Arial"/>
                <w:noProof/>
              </w:rPr>
              <w:t>a</w:t>
            </w:r>
          </w:p>
        </w:tc>
      </w:tr>
      <w:tr w:rsidR="00F12021" w:rsidRPr="00BE005D" w14:paraId="6C128EA0" w14:textId="77777777" w:rsidTr="002E1D47">
        <w:tc>
          <w:tcPr>
            <w:tcW w:w="9067" w:type="dxa"/>
          </w:tcPr>
          <w:p w14:paraId="475D9464" w14:textId="77777777" w:rsidR="00F12021" w:rsidRPr="00BE005D" w:rsidRDefault="00F12021" w:rsidP="00F12021">
            <w:pPr>
              <w:jc w:val="center"/>
              <w:rPr>
                <w:rFonts w:ascii="Arial" w:hAnsi="Arial" w:cs="Arial"/>
                <w:lang w:val="en-US"/>
              </w:rPr>
            </w:pPr>
            <w:bookmarkStart w:id="1" w:name="OLE_LINK3"/>
            <w:bookmarkStart w:id="2" w:name="OLE_LINK4"/>
            <w:r w:rsidRPr="00BE005D">
              <w:rPr>
                <w:rFonts w:ascii="Arial" w:hAnsi="Arial" w:cs="Arial"/>
                <w:noProof/>
              </w:rPr>
              <w:drawing>
                <wp:inline distT="0" distB="0" distL="0" distR="0" wp14:anchorId="62B58B8D" wp14:editId="0A1ADF2C">
                  <wp:extent cx="3942080" cy="2031274"/>
                  <wp:effectExtent l="0" t="0" r="0" b="1270"/>
                  <wp:docPr id="23" name="Gráfico 23">
                    <a:extLst xmlns:a="http://schemas.openxmlformats.org/drawingml/2006/main">
                      <a:ext uri="{FF2B5EF4-FFF2-40B4-BE49-F238E27FC236}">
                        <a16:creationId xmlns:a16="http://schemas.microsoft.com/office/drawing/2014/main" id="{8DF9AA0C-4DF0-8B49-A8DA-7DB374D16E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F12021" w:rsidRPr="00BE005D" w14:paraId="72FAA478" w14:textId="77777777" w:rsidTr="002E1D47">
        <w:tblPrEx>
          <w:tblCellMar>
            <w:left w:w="108" w:type="dxa"/>
            <w:right w:w="108" w:type="dxa"/>
          </w:tblCellMar>
        </w:tblPrEx>
        <w:tc>
          <w:tcPr>
            <w:tcW w:w="9067" w:type="dxa"/>
          </w:tcPr>
          <w:p w14:paraId="1EF68936" w14:textId="77777777" w:rsidR="00F12021" w:rsidRPr="00BE005D" w:rsidRDefault="00F12021" w:rsidP="00F12021">
            <w:pPr>
              <w:rPr>
                <w:rFonts w:ascii="Arial" w:hAnsi="Arial" w:cs="Arial"/>
                <w:lang w:val="en-US"/>
              </w:rPr>
            </w:pPr>
            <w:r w:rsidRPr="00BE005D">
              <w:rPr>
                <w:rFonts w:ascii="Arial" w:hAnsi="Arial" w:cs="Arial"/>
                <w:lang w:val="en-US"/>
              </w:rPr>
              <w:t>b</w:t>
            </w:r>
          </w:p>
        </w:tc>
      </w:tr>
      <w:tr w:rsidR="00F12021" w:rsidRPr="00BE005D" w14:paraId="3DA9EA21" w14:textId="77777777" w:rsidTr="002E1D47">
        <w:tc>
          <w:tcPr>
            <w:tcW w:w="9067" w:type="dxa"/>
          </w:tcPr>
          <w:p w14:paraId="14849738" w14:textId="77777777" w:rsidR="00F12021" w:rsidRPr="00BE005D" w:rsidRDefault="00F12021" w:rsidP="00F12021">
            <w:pPr>
              <w:jc w:val="center"/>
              <w:rPr>
                <w:rFonts w:ascii="Arial" w:hAnsi="Arial" w:cs="Arial"/>
                <w:lang w:val="en-US"/>
              </w:rPr>
            </w:pPr>
            <w:r w:rsidRPr="00BE005D">
              <w:rPr>
                <w:rFonts w:ascii="Arial" w:hAnsi="Arial" w:cs="Arial"/>
                <w:noProof/>
              </w:rPr>
              <w:drawing>
                <wp:inline distT="0" distB="0" distL="0" distR="0" wp14:anchorId="4133FC74" wp14:editId="43F055A7">
                  <wp:extent cx="3942080" cy="2032000"/>
                  <wp:effectExtent l="0" t="0" r="0" b="0"/>
                  <wp:docPr id="26" name="Gráfico 26">
                    <a:extLst xmlns:a="http://schemas.openxmlformats.org/drawingml/2006/main">
                      <a:ext uri="{FF2B5EF4-FFF2-40B4-BE49-F238E27FC236}">
                        <a16:creationId xmlns:a16="http://schemas.microsoft.com/office/drawing/2014/main" id="{0CF2617F-6A3C-A648-A84E-B97CB2F5DF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F12021" w:rsidRPr="00BE005D" w14:paraId="054F4272" w14:textId="77777777" w:rsidTr="002E1D47">
        <w:tblPrEx>
          <w:tblCellMar>
            <w:left w:w="108" w:type="dxa"/>
            <w:right w:w="108" w:type="dxa"/>
          </w:tblCellMar>
        </w:tblPrEx>
        <w:tc>
          <w:tcPr>
            <w:tcW w:w="9067" w:type="dxa"/>
          </w:tcPr>
          <w:p w14:paraId="3A87C2F7" w14:textId="77777777" w:rsidR="00F12021" w:rsidRPr="00BE005D" w:rsidRDefault="00F12021" w:rsidP="00F12021">
            <w:pPr>
              <w:rPr>
                <w:rFonts w:ascii="Arial" w:hAnsi="Arial" w:cs="Arial"/>
                <w:lang w:val="en-US"/>
              </w:rPr>
            </w:pPr>
            <w:r w:rsidRPr="00BE005D">
              <w:rPr>
                <w:rFonts w:ascii="Arial" w:hAnsi="Arial" w:cs="Arial"/>
                <w:lang w:val="en-US"/>
              </w:rPr>
              <w:t>c</w:t>
            </w:r>
          </w:p>
        </w:tc>
      </w:tr>
      <w:tr w:rsidR="00F12021" w:rsidRPr="00BE005D" w14:paraId="4B247357" w14:textId="77777777" w:rsidTr="002E1D47">
        <w:tc>
          <w:tcPr>
            <w:tcW w:w="9067" w:type="dxa"/>
          </w:tcPr>
          <w:p w14:paraId="4CB4B22E" w14:textId="77777777" w:rsidR="00F12021" w:rsidRPr="00BE005D" w:rsidRDefault="00F12021" w:rsidP="00F12021">
            <w:pPr>
              <w:jc w:val="center"/>
              <w:rPr>
                <w:rFonts w:ascii="Arial" w:hAnsi="Arial" w:cs="Arial"/>
                <w:lang w:val="en-US"/>
              </w:rPr>
            </w:pPr>
            <w:r w:rsidRPr="00BE005D">
              <w:rPr>
                <w:rFonts w:ascii="Arial" w:hAnsi="Arial" w:cs="Arial"/>
                <w:noProof/>
              </w:rPr>
              <w:lastRenderedPageBreak/>
              <w:drawing>
                <wp:inline distT="0" distB="0" distL="0" distR="0" wp14:anchorId="0950F3E9" wp14:editId="7612CA1F">
                  <wp:extent cx="3942080" cy="2032000"/>
                  <wp:effectExtent l="0" t="0" r="0" b="0"/>
                  <wp:docPr id="27" name="Gráfico 27">
                    <a:extLst xmlns:a="http://schemas.openxmlformats.org/drawingml/2006/main">
                      <a:ext uri="{FF2B5EF4-FFF2-40B4-BE49-F238E27FC236}">
                        <a16:creationId xmlns:a16="http://schemas.microsoft.com/office/drawing/2014/main" id="{415E7464-AC2E-F74E-B249-FADFB964D0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00694CD7" w14:textId="572E984B" w:rsidR="00F12021" w:rsidRPr="00BE005D" w:rsidRDefault="00F12021" w:rsidP="00F12021">
      <w:pPr>
        <w:pStyle w:val="Descripcin"/>
        <w:rPr>
          <w:rFonts w:ascii="Arial" w:hAnsi="Arial" w:cs="Arial"/>
          <w:sz w:val="18"/>
          <w:lang w:val="en-US"/>
        </w:rPr>
      </w:pPr>
      <w:r w:rsidRPr="00BE005D">
        <w:rPr>
          <w:rFonts w:ascii="Arial" w:hAnsi="Arial" w:cs="Arial"/>
          <w:b/>
          <w:bCs w:val="0"/>
          <w:sz w:val="18"/>
          <w:lang w:val="en-US"/>
        </w:rPr>
        <w:t>Fig</w:t>
      </w:r>
      <w:r w:rsidR="005C6F66" w:rsidRPr="00BE005D">
        <w:rPr>
          <w:rFonts w:ascii="Arial" w:hAnsi="Arial" w:cs="Arial"/>
          <w:b/>
          <w:bCs w:val="0"/>
          <w:sz w:val="18"/>
          <w:lang w:val="en-US"/>
        </w:rPr>
        <w:t>ure</w:t>
      </w:r>
      <w:r w:rsidRPr="00BE005D">
        <w:rPr>
          <w:rFonts w:ascii="Arial" w:hAnsi="Arial" w:cs="Arial"/>
          <w:b/>
          <w:bCs w:val="0"/>
          <w:sz w:val="18"/>
          <w:lang w:val="en-US"/>
        </w:rPr>
        <w:t xml:space="preserve"> 1</w:t>
      </w:r>
      <w:r w:rsidR="00BF0758" w:rsidRPr="00BE005D">
        <w:rPr>
          <w:rFonts w:ascii="Arial" w:hAnsi="Arial" w:cs="Arial"/>
          <w:b/>
          <w:bCs w:val="0"/>
          <w:sz w:val="18"/>
          <w:lang w:val="en-US"/>
        </w:rPr>
        <w:t>.</w:t>
      </w:r>
      <w:r w:rsidRPr="00BE005D">
        <w:rPr>
          <w:rFonts w:ascii="Arial" w:hAnsi="Arial" w:cs="Arial"/>
          <w:sz w:val="18"/>
          <w:lang w:val="en-US"/>
        </w:rPr>
        <w:t xml:space="preserve"> Dynamics of release of soluble phosphorus on NBRIP supplemented with tricalcium phosphate in submerged culture for 10 days incubation: </w:t>
      </w:r>
      <w:r w:rsidRPr="00BE005D">
        <w:rPr>
          <w:rFonts w:ascii="Arial" w:hAnsi="Arial" w:cs="Arial"/>
          <w:b/>
          <w:bCs w:val="0"/>
          <w:sz w:val="18"/>
          <w:lang w:val="en-US"/>
        </w:rPr>
        <w:t>a.</w:t>
      </w:r>
      <w:r w:rsidRPr="00BE005D">
        <w:rPr>
          <w:rFonts w:ascii="Arial" w:hAnsi="Arial" w:cs="Arial"/>
          <w:sz w:val="18"/>
          <w:lang w:val="en-US"/>
        </w:rPr>
        <w:t xml:space="preserve"> GIBI025. </w:t>
      </w:r>
      <w:r w:rsidRPr="00BE005D">
        <w:rPr>
          <w:rFonts w:ascii="Arial" w:hAnsi="Arial" w:cs="Arial"/>
          <w:b/>
          <w:bCs w:val="0"/>
          <w:sz w:val="18"/>
          <w:lang w:val="en-US"/>
        </w:rPr>
        <w:t>b.</w:t>
      </w:r>
      <w:r w:rsidRPr="00BE005D">
        <w:rPr>
          <w:rFonts w:ascii="Arial" w:hAnsi="Arial" w:cs="Arial"/>
          <w:sz w:val="18"/>
          <w:lang w:val="en-US"/>
        </w:rPr>
        <w:t xml:space="preserve"> GIBI029. </w:t>
      </w:r>
      <w:r w:rsidRPr="00BE005D">
        <w:rPr>
          <w:rFonts w:ascii="Arial" w:hAnsi="Arial" w:cs="Arial"/>
          <w:b/>
          <w:bCs w:val="0"/>
          <w:sz w:val="18"/>
          <w:lang w:val="en-US"/>
        </w:rPr>
        <w:t>c.</w:t>
      </w:r>
      <w:r w:rsidRPr="00BE005D">
        <w:rPr>
          <w:rFonts w:ascii="Arial" w:hAnsi="Arial" w:cs="Arial"/>
          <w:sz w:val="18"/>
          <w:lang w:val="en-US"/>
        </w:rPr>
        <w:t xml:space="preserve"> ATCC49037. </w:t>
      </w:r>
      <w:bookmarkEnd w:id="1"/>
      <w:bookmarkEnd w:id="2"/>
    </w:p>
    <w:p w14:paraId="624DADEE" w14:textId="77777777" w:rsidR="00F12021" w:rsidRPr="00BE005D" w:rsidRDefault="00F12021" w:rsidP="005416C1">
      <w:pPr>
        <w:jc w:val="both"/>
        <w:rPr>
          <w:rFonts w:ascii="Arial" w:hAnsi="Arial" w:cs="Arial"/>
          <w:lang w:val="en-US"/>
        </w:rPr>
      </w:pPr>
    </w:p>
    <w:p w14:paraId="063CB1F7" w14:textId="4714B5A8" w:rsidR="005342FA" w:rsidRPr="00BE005D" w:rsidRDefault="005416C1" w:rsidP="00816FFB">
      <w:pPr>
        <w:pStyle w:val="Descripcin"/>
        <w:rPr>
          <w:rFonts w:ascii="Arial" w:hAnsi="Arial" w:cs="Arial"/>
          <w:sz w:val="22"/>
          <w:szCs w:val="22"/>
          <w:lang w:val="en-US"/>
        </w:rPr>
      </w:pPr>
      <w:r w:rsidRPr="00BE005D">
        <w:rPr>
          <w:rFonts w:ascii="Arial" w:hAnsi="Arial" w:cs="Arial"/>
          <w:sz w:val="22"/>
          <w:szCs w:val="22"/>
          <w:lang w:val="en-US"/>
        </w:rPr>
        <w:t>In cultures containing aluminum phosphate, native isolates showed a maximum release of P at 144 hours of incubation with very similar levels (200</w:t>
      </w:r>
      <w:r w:rsidR="007D6DBE" w:rsidRPr="00BE005D">
        <w:rPr>
          <w:rFonts w:ascii="Arial" w:hAnsi="Arial" w:cs="Arial"/>
          <w:sz w:val="22"/>
          <w:szCs w:val="22"/>
          <w:lang w:val="en-US"/>
        </w:rPr>
        <w:t>,</w:t>
      </w:r>
      <w:r w:rsidRPr="00BE005D">
        <w:rPr>
          <w:rFonts w:ascii="Arial" w:hAnsi="Arial" w:cs="Arial"/>
          <w:sz w:val="22"/>
          <w:szCs w:val="22"/>
          <w:lang w:val="en-US"/>
        </w:rPr>
        <w:t>667 mg/</w:t>
      </w:r>
      <w:r w:rsidR="007D6DBE" w:rsidRPr="00BE005D">
        <w:rPr>
          <w:rFonts w:ascii="Arial" w:hAnsi="Arial" w:cs="Arial"/>
          <w:sz w:val="22"/>
          <w:szCs w:val="22"/>
          <w:lang w:val="en-US"/>
        </w:rPr>
        <w:t>L</w:t>
      </w:r>
      <w:r w:rsidRPr="00BE005D">
        <w:rPr>
          <w:rFonts w:ascii="Arial" w:hAnsi="Arial" w:cs="Arial"/>
          <w:sz w:val="22"/>
          <w:szCs w:val="22"/>
          <w:lang w:val="en-US"/>
        </w:rPr>
        <w:t xml:space="preserve"> for GIBI025 and 209</w:t>
      </w:r>
      <w:r w:rsidR="007D6DBE" w:rsidRPr="00BE005D">
        <w:rPr>
          <w:rFonts w:ascii="Arial" w:hAnsi="Arial" w:cs="Arial"/>
          <w:sz w:val="22"/>
          <w:szCs w:val="22"/>
          <w:lang w:val="en-US"/>
        </w:rPr>
        <w:t>,</w:t>
      </w:r>
      <w:r w:rsidRPr="00BE005D">
        <w:rPr>
          <w:rFonts w:ascii="Arial" w:hAnsi="Arial" w:cs="Arial"/>
          <w:sz w:val="22"/>
          <w:szCs w:val="22"/>
          <w:lang w:val="en-US"/>
        </w:rPr>
        <w:t>267 mg/</w:t>
      </w:r>
      <w:r w:rsidR="007D6DBE" w:rsidRPr="00BE005D">
        <w:rPr>
          <w:rFonts w:ascii="Arial" w:hAnsi="Arial" w:cs="Arial"/>
          <w:sz w:val="22"/>
          <w:szCs w:val="22"/>
          <w:lang w:val="en-US"/>
        </w:rPr>
        <w:t>L</w:t>
      </w:r>
      <w:r w:rsidRPr="00BE005D">
        <w:rPr>
          <w:rFonts w:ascii="Arial" w:hAnsi="Arial" w:cs="Arial"/>
          <w:sz w:val="22"/>
          <w:szCs w:val="22"/>
          <w:lang w:val="en-US"/>
        </w:rPr>
        <w:t xml:space="preserve"> for GIBI029). The highest value of P released for strain ATCC 49037 was 17</w:t>
      </w:r>
      <w:r w:rsidR="007D6DBE" w:rsidRPr="00BE005D">
        <w:rPr>
          <w:rFonts w:ascii="Arial" w:hAnsi="Arial" w:cs="Arial"/>
          <w:sz w:val="22"/>
          <w:szCs w:val="22"/>
          <w:lang w:val="en-US"/>
        </w:rPr>
        <w:t>,</w:t>
      </w:r>
      <w:r w:rsidRPr="00BE005D">
        <w:rPr>
          <w:rFonts w:ascii="Arial" w:hAnsi="Arial" w:cs="Arial"/>
          <w:sz w:val="22"/>
          <w:szCs w:val="22"/>
          <w:lang w:val="en-US"/>
        </w:rPr>
        <w:t>733 mg/</w:t>
      </w:r>
      <w:r w:rsidR="007D6DBE" w:rsidRPr="00BE005D">
        <w:rPr>
          <w:rFonts w:ascii="Arial" w:hAnsi="Arial" w:cs="Arial"/>
          <w:sz w:val="22"/>
          <w:szCs w:val="22"/>
          <w:lang w:val="en-US"/>
        </w:rPr>
        <w:t>L</w:t>
      </w:r>
      <w:r w:rsidRPr="00BE005D">
        <w:rPr>
          <w:rFonts w:ascii="Arial" w:hAnsi="Arial" w:cs="Arial"/>
          <w:sz w:val="22"/>
          <w:szCs w:val="22"/>
          <w:lang w:val="en-US"/>
        </w:rPr>
        <w:t xml:space="preserve"> at 192 hours of incubation (Fig</w:t>
      </w:r>
      <w:r w:rsidR="00C83584" w:rsidRPr="00BE005D">
        <w:rPr>
          <w:rFonts w:ascii="Arial" w:hAnsi="Arial" w:cs="Arial"/>
          <w:sz w:val="22"/>
          <w:szCs w:val="22"/>
          <w:lang w:val="en-US"/>
        </w:rPr>
        <w:t>ure</w:t>
      </w:r>
      <w:r w:rsidRPr="00BE005D">
        <w:rPr>
          <w:rFonts w:ascii="Arial" w:hAnsi="Arial" w:cs="Arial"/>
          <w:sz w:val="22"/>
          <w:szCs w:val="22"/>
          <w:lang w:val="en-US"/>
        </w:rPr>
        <w:t xml:space="preserve"> 2). With regard to the behavior of the three bacteria evaluated in media supplemented with iron phosphate, it was seen that the native isolates reached higher levels of soluble P in less time (120 hours), with respect to strain ATCC 49037 (144 hours). Concentrations of soluble P of 88</w:t>
      </w:r>
      <w:r w:rsidR="007D6DBE" w:rsidRPr="00BE005D">
        <w:rPr>
          <w:rFonts w:ascii="Arial" w:hAnsi="Arial" w:cs="Arial"/>
          <w:sz w:val="22"/>
          <w:szCs w:val="22"/>
          <w:lang w:val="en-US"/>
        </w:rPr>
        <w:t>,</w:t>
      </w:r>
      <w:r w:rsidRPr="00BE005D">
        <w:rPr>
          <w:rFonts w:ascii="Arial" w:hAnsi="Arial" w:cs="Arial"/>
          <w:sz w:val="22"/>
          <w:szCs w:val="22"/>
          <w:lang w:val="en-US"/>
        </w:rPr>
        <w:t>933 mg/</w:t>
      </w:r>
      <w:r w:rsidR="007D6DBE" w:rsidRPr="00BE005D">
        <w:rPr>
          <w:rFonts w:ascii="Arial" w:hAnsi="Arial" w:cs="Arial"/>
          <w:sz w:val="22"/>
          <w:szCs w:val="22"/>
          <w:lang w:val="en-US"/>
        </w:rPr>
        <w:t>L</w:t>
      </w:r>
      <w:r w:rsidRPr="00BE005D">
        <w:rPr>
          <w:rFonts w:ascii="Arial" w:hAnsi="Arial" w:cs="Arial"/>
          <w:sz w:val="22"/>
          <w:szCs w:val="22"/>
          <w:lang w:val="en-US"/>
        </w:rPr>
        <w:t xml:space="preserve"> for GIBI025, 104</w:t>
      </w:r>
      <w:r w:rsidR="007D6DBE" w:rsidRPr="00BE005D">
        <w:rPr>
          <w:rFonts w:ascii="Arial" w:hAnsi="Arial" w:cs="Arial"/>
          <w:sz w:val="22"/>
          <w:szCs w:val="22"/>
          <w:lang w:val="en-US"/>
        </w:rPr>
        <w:t>,</w:t>
      </w:r>
      <w:r w:rsidRPr="00BE005D">
        <w:rPr>
          <w:rFonts w:ascii="Arial" w:hAnsi="Arial" w:cs="Arial"/>
          <w:sz w:val="22"/>
          <w:szCs w:val="22"/>
          <w:lang w:val="en-US"/>
        </w:rPr>
        <w:t>20 mg/</w:t>
      </w:r>
      <w:r w:rsidR="007D6DBE" w:rsidRPr="00BE005D">
        <w:rPr>
          <w:rFonts w:ascii="Arial" w:hAnsi="Arial" w:cs="Arial"/>
          <w:sz w:val="22"/>
          <w:szCs w:val="22"/>
          <w:lang w:val="en-US"/>
        </w:rPr>
        <w:t>L</w:t>
      </w:r>
      <w:r w:rsidRPr="00BE005D">
        <w:rPr>
          <w:rFonts w:ascii="Arial" w:hAnsi="Arial" w:cs="Arial"/>
          <w:sz w:val="22"/>
          <w:szCs w:val="22"/>
          <w:lang w:val="en-US"/>
        </w:rPr>
        <w:t xml:space="preserve"> for GIBI029 and 51</w:t>
      </w:r>
      <w:r w:rsidR="007D6DBE" w:rsidRPr="00BE005D">
        <w:rPr>
          <w:rFonts w:ascii="Arial" w:hAnsi="Arial" w:cs="Arial"/>
          <w:sz w:val="22"/>
          <w:szCs w:val="22"/>
          <w:lang w:val="en-US"/>
        </w:rPr>
        <w:t>,</w:t>
      </w:r>
      <w:r w:rsidRPr="00BE005D">
        <w:rPr>
          <w:rFonts w:ascii="Arial" w:hAnsi="Arial" w:cs="Arial"/>
          <w:sz w:val="22"/>
          <w:szCs w:val="22"/>
          <w:lang w:val="en-US"/>
        </w:rPr>
        <w:t>60 mg/</w:t>
      </w:r>
      <w:r w:rsidR="007D6DBE" w:rsidRPr="00BE005D">
        <w:rPr>
          <w:rFonts w:ascii="Arial" w:hAnsi="Arial" w:cs="Arial"/>
          <w:sz w:val="22"/>
          <w:szCs w:val="22"/>
          <w:lang w:val="en-US"/>
        </w:rPr>
        <w:t>L</w:t>
      </w:r>
      <w:r w:rsidRPr="00BE005D">
        <w:rPr>
          <w:rFonts w:ascii="Arial" w:hAnsi="Arial" w:cs="Arial"/>
          <w:sz w:val="22"/>
          <w:szCs w:val="22"/>
          <w:lang w:val="en-US"/>
        </w:rPr>
        <w:t xml:space="preserve"> for ATCC 49037 (Fig</w:t>
      </w:r>
      <w:r w:rsidR="00C83584" w:rsidRPr="00BE005D">
        <w:rPr>
          <w:rFonts w:ascii="Arial" w:hAnsi="Arial" w:cs="Arial"/>
          <w:sz w:val="22"/>
          <w:szCs w:val="22"/>
          <w:lang w:val="en-US"/>
        </w:rPr>
        <w:t>ure</w:t>
      </w:r>
      <w:r w:rsidRPr="00BE005D">
        <w:rPr>
          <w:rFonts w:ascii="Arial" w:hAnsi="Arial" w:cs="Arial"/>
          <w:sz w:val="22"/>
          <w:szCs w:val="22"/>
          <w:lang w:val="en-US"/>
        </w:rPr>
        <w:t xml:space="preserve"> 3) were obtained.</w:t>
      </w:r>
      <w:r w:rsidR="00515F5D" w:rsidRPr="00BE005D">
        <w:rPr>
          <w:rFonts w:ascii="Arial" w:hAnsi="Arial" w:cs="Arial"/>
          <w:sz w:val="22"/>
          <w:szCs w:val="22"/>
          <w:lang w:val="en-US"/>
        </w:rPr>
        <w:t xml:space="preserve"> These values correspond to the average of three technical replicates.</w:t>
      </w:r>
    </w:p>
    <w:p w14:paraId="2C37E65E" w14:textId="77777777" w:rsidR="00231DF2" w:rsidRPr="00BE005D" w:rsidRDefault="00231DF2" w:rsidP="005416C1">
      <w:pPr>
        <w:jc w:val="both"/>
        <w:rPr>
          <w:rFonts w:ascii="Arial" w:hAnsi="Arial" w:cs="Arial"/>
          <w:lang w:val="en-U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067"/>
      </w:tblGrid>
      <w:tr w:rsidR="005342FA" w:rsidRPr="00BE005D" w14:paraId="469B6425" w14:textId="77777777" w:rsidTr="002E1D47">
        <w:tc>
          <w:tcPr>
            <w:tcW w:w="9067" w:type="dxa"/>
          </w:tcPr>
          <w:p w14:paraId="048D950A" w14:textId="77777777" w:rsidR="005342FA" w:rsidRPr="00BE005D" w:rsidRDefault="005342FA" w:rsidP="002E1D47">
            <w:pPr>
              <w:spacing w:after="200" w:line="276" w:lineRule="auto"/>
              <w:rPr>
                <w:rFonts w:ascii="Arial" w:hAnsi="Arial" w:cs="Arial"/>
                <w:noProof/>
              </w:rPr>
            </w:pPr>
            <w:r w:rsidRPr="00BE005D">
              <w:rPr>
                <w:rFonts w:ascii="Arial" w:hAnsi="Arial" w:cs="Arial"/>
                <w:lang w:val="en-US"/>
              </w:rPr>
              <w:t>a</w:t>
            </w:r>
          </w:p>
        </w:tc>
      </w:tr>
      <w:tr w:rsidR="005342FA" w:rsidRPr="00BE005D" w14:paraId="6EA2C775" w14:textId="77777777" w:rsidTr="002E1D47">
        <w:tc>
          <w:tcPr>
            <w:tcW w:w="9067" w:type="dxa"/>
          </w:tcPr>
          <w:p w14:paraId="525DAC2B" w14:textId="77777777" w:rsidR="005342FA" w:rsidRPr="00BE005D" w:rsidRDefault="005342FA" w:rsidP="002E1D47">
            <w:pPr>
              <w:spacing w:after="200" w:line="276" w:lineRule="auto"/>
              <w:jc w:val="center"/>
              <w:rPr>
                <w:rFonts w:ascii="Arial" w:hAnsi="Arial" w:cs="Arial"/>
                <w:lang w:val="en-US"/>
              </w:rPr>
            </w:pPr>
            <w:bookmarkStart w:id="3" w:name="OLE_LINK5"/>
            <w:bookmarkStart w:id="4" w:name="OLE_LINK6"/>
            <w:r w:rsidRPr="00BE005D">
              <w:rPr>
                <w:rFonts w:ascii="Arial" w:hAnsi="Arial" w:cs="Arial"/>
                <w:noProof/>
              </w:rPr>
              <w:drawing>
                <wp:inline distT="0" distB="0" distL="0" distR="0" wp14:anchorId="44883514" wp14:editId="41232CB6">
                  <wp:extent cx="3944982" cy="2031274"/>
                  <wp:effectExtent l="0" t="0" r="5080" b="1270"/>
                  <wp:docPr id="1" name="Gráfico 1">
                    <a:extLst xmlns:a="http://schemas.openxmlformats.org/drawingml/2006/main">
                      <a:ext uri="{FF2B5EF4-FFF2-40B4-BE49-F238E27FC236}">
                        <a16:creationId xmlns:a16="http://schemas.microsoft.com/office/drawing/2014/main" id="{BCE4C484-0EC9-1E42-AFD3-3B83FE6DE3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5342FA" w:rsidRPr="00BE005D" w14:paraId="7FEF46AB" w14:textId="77777777" w:rsidTr="002E1D47">
        <w:tblPrEx>
          <w:tblCellMar>
            <w:left w:w="108" w:type="dxa"/>
            <w:right w:w="108" w:type="dxa"/>
          </w:tblCellMar>
        </w:tblPrEx>
        <w:tc>
          <w:tcPr>
            <w:tcW w:w="9067" w:type="dxa"/>
          </w:tcPr>
          <w:p w14:paraId="75CACB89" w14:textId="77777777" w:rsidR="005342FA" w:rsidRPr="00BE005D" w:rsidRDefault="005342FA" w:rsidP="002E1D47">
            <w:pPr>
              <w:rPr>
                <w:rFonts w:ascii="Arial" w:hAnsi="Arial" w:cs="Arial"/>
                <w:lang w:val="en-US"/>
              </w:rPr>
            </w:pPr>
            <w:r w:rsidRPr="00BE005D">
              <w:rPr>
                <w:rFonts w:ascii="Arial" w:hAnsi="Arial" w:cs="Arial"/>
                <w:lang w:val="en-US"/>
              </w:rPr>
              <w:t>b</w:t>
            </w:r>
          </w:p>
        </w:tc>
      </w:tr>
      <w:tr w:rsidR="005342FA" w:rsidRPr="00BE005D" w14:paraId="07C953C4" w14:textId="77777777" w:rsidTr="002E1D47">
        <w:tc>
          <w:tcPr>
            <w:tcW w:w="9067" w:type="dxa"/>
          </w:tcPr>
          <w:p w14:paraId="197710B9" w14:textId="77777777" w:rsidR="005342FA" w:rsidRPr="00BE005D" w:rsidRDefault="005342FA" w:rsidP="002E1D47">
            <w:pPr>
              <w:spacing w:after="200" w:line="276" w:lineRule="auto"/>
              <w:jc w:val="center"/>
              <w:rPr>
                <w:rFonts w:ascii="Arial" w:hAnsi="Arial" w:cs="Arial"/>
                <w:lang w:val="en-US"/>
              </w:rPr>
            </w:pPr>
            <w:r w:rsidRPr="00BE005D">
              <w:rPr>
                <w:rFonts w:ascii="Arial" w:hAnsi="Arial" w:cs="Arial"/>
                <w:noProof/>
              </w:rPr>
              <w:lastRenderedPageBreak/>
              <w:drawing>
                <wp:inline distT="0" distB="0" distL="0" distR="0" wp14:anchorId="319FE08D" wp14:editId="7D771A9B">
                  <wp:extent cx="3944982" cy="2031274"/>
                  <wp:effectExtent l="0" t="0" r="5080" b="1270"/>
                  <wp:docPr id="31" name="Gráfico 31">
                    <a:extLst xmlns:a="http://schemas.openxmlformats.org/drawingml/2006/main">
                      <a:ext uri="{FF2B5EF4-FFF2-40B4-BE49-F238E27FC236}">
                        <a16:creationId xmlns:a16="http://schemas.microsoft.com/office/drawing/2014/main" id="{E58FE00E-630F-D749-87B1-F8A6E71745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5342FA" w:rsidRPr="00BE005D" w14:paraId="62EACB99" w14:textId="77777777" w:rsidTr="002E1D47">
        <w:tblPrEx>
          <w:tblCellMar>
            <w:left w:w="108" w:type="dxa"/>
            <w:right w:w="108" w:type="dxa"/>
          </w:tblCellMar>
        </w:tblPrEx>
        <w:tc>
          <w:tcPr>
            <w:tcW w:w="9067" w:type="dxa"/>
          </w:tcPr>
          <w:p w14:paraId="519F2F6A" w14:textId="77777777" w:rsidR="005342FA" w:rsidRPr="00BE005D" w:rsidRDefault="005342FA" w:rsidP="002E1D47">
            <w:pPr>
              <w:rPr>
                <w:rFonts w:ascii="Arial" w:hAnsi="Arial" w:cs="Arial"/>
                <w:lang w:val="en-US"/>
              </w:rPr>
            </w:pPr>
            <w:r w:rsidRPr="00BE005D">
              <w:rPr>
                <w:rFonts w:ascii="Arial" w:hAnsi="Arial" w:cs="Arial"/>
                <w:lang w:val="en-US"/>
              </w:rPr>
              <w:t>c</w:t>
            </w:r>
          </w:p>
        </w:tc>
      </w:tr>
      <w:tr w:rsidR="005342FA" w:rsidRPr="00BE005D" w14:paraId="41EC6038" w14:textId="77777777" w:rsidTr="002E1D47">
        <w:tc>
          <w:tcPr>
            <w:tcW w:w="9067" w:type="dxa"/>
          </w:tcPr>
          <w:p w14:paraId="6491A178" w14:textId="77777777" w:rsidR="005342FA" w:rsidRPr="00BE005D" w:rsidRDefault="005342FA" w:rsidP="002E1D47">
            <w:pPr>
              <w:spacing w:after="200" w:line="276" w:lineRule="auto"/>
              <w:jc w:val="center"/>
              <w:rPr>
                <w:rFonts w:ascii="Arial" w:hAnsi="Arial" w:cs="Arial"/>
                <w:lang w:val="en-US"/>
              </w:rPr>
            </w:pPr>
            <w:r w:rsidRPr="00BE005D">
              <w:rPr>
                <w:rFonts w:ascii="Arial" w:hAnsi="Arial" w:cs="Arial"/>
                <w:noProof/>
              </w:rPr>
              <w:drawing>
                <wp:inline distT="0" distB="0" distL="0" distR="0" wp14:anchorId="21877B5D" wp14:editId="5D449A01">
                  <wp:extent cx="3944982" cy="2031274"/>
                  <wp:effectExtent l="0" t="0" r="5080" b="1270"/>
                  <wp:docPr id="32" name="Gráfico 32">
                    <a:extLst xmlns:a="http://schemas.openxmlformats.org/drawingml/2006/main">
                      <a:ext uri="{FF2B5EF4-FFF2-40B4-BE49-F238E27FC236}">
                        <a16:creationId xmlns:a16="http://schemas.microsoft.com/office/drawing/2014/main" id="{9F321237-EA67-EC40-BECB-CE9C1DEBB7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7AC971CB" w14:textId="0CA79FA4" w:rsidR="005416C1" w:rsidRPr="00BE005D" w:rsidRDefault="005342FA" w:rsidP="007E6810">
      <w:pPr>
        <w:pStyle w:val="Descripcin"/>
        <w:rPr>
          <w:rFonts w:ascii="Arial" w:hAnsi="Arial" w:cs="Arial"/>
          <w:sz w:val="18"/>
          <w:lang w:val="en-US"/>
        </w:rPr>
      </w:pPr>
      <w:r w:rsidRPr="00BE005D">
        <w:rPr>
          <w:rFonts w:ascii="Arial" w:hAnsi="Arial" w:cs="Arial"/>
          <w:b/>
          <w:bCs w:val="0"/>
          <w:sz w:val="18"/>
          <w:lang w:val="en-US"/>
        </w:rPr>
        <w:t>Fig</w:t>
      </w:r>
      <w:r w:rsidR="005C6F66" w:rsidRPr="00BE005D">
        <w:rPr>
          <w:rFonts w:ascii="Arial" w:hAnsi="Arial" w:cs="Arial"/>
          <w:b/>
          <w:bCs w:val="0"/>
          <w:sz w:val="18"/>
          <w:lang w:val="en-US"/>
        </w:rPr>
        <w:t>ure</w:t>
      </w:r>
      <w:r w:rsidRPr="00BE005D">
        <w:rPr>
          <w:rFonts w:ascii="Arial" w:hAnsi="Arial" w:cs="Arial"/>
          <w:b/>
          <w:bCs w:val="0"/>
          <w:sz w:val="18"/>
          <w:lang w:val="en-US"/>
        </w:rPr>
        <w:t xml:space="preserve"> 2</w:t>
      </w:r>
      <w:r w:rsidR="00BF0758" w:rsidRPr="00BE005D">
        <w:rPr>
          <w:rFonts w:ascii="Arial" w:hAnsi="Arial" w:cs="Arial"/>
          <w:b/>
          <w:bCs w:val="0"/>
          <w:sz w:val="18"/>
          <w:lang w:val="en-US"/>
        </w:rPr>
        <w:t>.</w:t>
      </w:r>
      <w:r w:rsidRPr="00BE005D">
        <w:rPr>
          <w:rFonts w:ascii="Arial" w:hAnsi="Arial" w:cs="Arial"/>
          <w:sz w:val="18"/>
          <w:lang w:val="en-US"/>
        </w:rPr>
        <w:t xml:space="preserve"> Release of soluble phosphorus on NBRIP supplemented with aluminum phosphate in submerged culture for 10 days incubation: </w:t>
      </w:r>
      <w:r w:rsidRPr="00BE005D">
        <w:rPr>
          <w:rFonts w:ascii="Arial" w:hAnsi="Arial" w:cs="Arial"/>
          <w:b/>
          <w:bCs w:val="0"/>
          <w:sz w:val="18"/>
          <w:lang w:val="en-US"/>
        </w:rPr>
        <w:t>a.</w:t>
      </w:r>
      <w:r w:rsidRPr="00BE005D">
        <w:rPr>
          <w:rFonts w:ascii="Arial" w:hAnsi="Arial" w:cs="Arial"/>
          <w:sz w:val="18"/>
          <w:lang w:val="en-US"/>
        </w:rPr>
        <w:t xml:space="preserve"> GIBI025. </w:t>
      </w:r>
      <w:r w:rsidRPr="00BE005D">
        <w:rPr>
          <w:rFonts w:ascii="Arial" w:hAnsi="Arial" w:cs="Arial"/>
          <w:b/>
          <w:bCs w:val="0"/>
          <w:sz w:val="18"/>
          <w:lang w:val="en-US"/>
        </w:rPr>
        <w:t>b.</w:t>
      </w:r>
      <w:r w:rsidRPr="00BE005D">
        <w:rPr>
          <w:rFonts w:ascii="Arial" w:hAnsi="Arial" w:cs="Arial"/>
          <w:sz w:val="18"/>
          <w:lang w:val="en-US"/>
        </w:rPr>
        <w:t xml:space="preserve"> GIBI029. </w:t>
      </w:r>
      <w:r w:rsidRPr="00BE005D">
        <w:rPr>
          <w:rFonts w:ascii="Arial" w:hAnsi="Arial" w:cs="Arial"/>
          <w:b/>
          <w:bCs w:val="0"/>
          <w:sz w:val="18"/>
          <w:lang w:val="en-US"/>
        </w:rPr>
        <w:t>c.</w:t>
      </w:r>
      <w:r w:rsidRPr="00BE005D">
        <w:rPr>
          <w:rFonts w:ascii="Arial" w:hAnsi="Arial" w:cs="Arial"/>
          <w:sz w:val="18"/>
          <w:lang w:val="en-US"/>
        </w:rPr>
        <w:t xml:space="preserve"> ATCC49037.</w:t>
      </w:r>
      <w:bookmarkEnd w:id="3"/>
      <w:bookmarkEnd w:id="4"/>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067"/>
      </w:tblGrid>
      <w:tr w:rsidR="00231DF2" w:rsidRPr="00BE005D" w14:paraId="2EF503D2" w14:textId="77777777" w:rsidTr="002E1D47">
        <w:tc>
          <w:tcPr>
            <w:tcW w:w="9067" w:type="dxa"/>
          </w:tcPr>
          <w:p w14:paraId="1E228FD8" w14:textId="77777777" w:rsidR="00231DF2" w:rsidRPr="00BE005D" w:rsidRDefault="00231DF2" w:rsidP="00231DF2">
            <w:pPr>
              <w:rPr>
                <w:rFonts w:ascii="Arial" w:hAnsi="Arial" w:cs="Arial"/>
                <w:noProof/>
              </w:rPr>
            </w:pPr>
            <w:r w:rsidRPr="00BE005D">
              <w:rPr>
                <w:rFonts w:ascii="Arial" w:hAnsi="Arial" w:cs="Arial"/>
                <w:noProof/>
              </w:rPr>
              <w:t>a</w:t>
            </w:r>
          </w:p>
        </w:tc>
      </w:tr>
      <w:tr w:rsidR="00231DF2" w:rsidRPr="00BE005D" w14:paraId="0D49E486" w14:textId="77777777" w:rsidTr="002E1D47">
        <w:tc>
          <w:tcPr>
            <w:tcW w:w="9067" w:type="dxa"/>
          </w:tcPr>
          <w:p w14:paraId="08A06B88" w14:textId="77777777" w:rsidR="00231DF2" w:rsidRPr="00BE005D" w:rsidRDefault="00231DF2" w:rsidP="00231DF2">
            <w:pPr>
              <w:jc w:val="center"/>
              <w:rPr>
                <w:rFonts w:ascii="Arial" w:hAnsi="Arial" w:cs="Arial"/>
                <w:lang w:val="en-US"/>
              </w:rPr>
            </w:pPr>
            <w:r w:rsidRPr="00BE005D">
              <w:rPr>
                <w:rFonts w:ascii="Arial" w:hAnsi="Arial" w:cs="Arial"/>
                <w:noProof/>
              </w:rPr>
              <w:drawing>
                <wp:inline distT="0" distB="0" distL="0" distR="0" wp14:anchorId="55CD07E6" wp14:editId="6365CB44">
                  <wp:extent cx="3944982" cy="2031274"/>
                  <wp:effectExtent l="0" t="0" r="5080" b="1270"/>
                  <wp:docPr id="37" name="Gráfico 37">
                    <a:extLst xmlns:a="http://schemas.openxmlformats.org/drawingml/2006/main">
                      <a:ext uri="{FF2B5EF4-FFF2-40B4-BE49-F238E27FC236}">
                        <a16:creationId xmlns:a16="http://schemas.microsoft.com/office/drawing/2014/main" id="{7DE5783C-FCB1-AC4F-A06F-179E488432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231DF2" w:rsidRPr="00BE005D" w14:paraId="6F2E17BB" w14:textId="77777777" w:rsidTr="002E1D47">
        <w:tblPrEx>
          <w:tblCellMar>
            <w:left w:w="108" w:type="dxa"/>
            <w:right w:w="108" w:type="dxa"/>
          </w:tblCellMar>
        </w:tblPrEx>
        <w:tc>
          <w:tcPr>
            <w:tcW w:w="9067" w:type="dxa"/>
          </w:tcPr>
          <w:p w14:paraId="66D0B148" w14:textId="77777777" w:rsidR="00231DF2" w:rsidRPr="00BE005D" w:rsidRDefault="00231DF2" w:rsidP="00231DF2">
            <w:pPr>
              <w:rPr>
                <w:rFonts w:ascii="Arial" w:hAnsi="Arial" w:cs="Arial"/>
                <w:lang w:val="en-US"/>
              </w:rPr>
            </w:pPr>
            <w:r w:rsidRPr="00BE005D">
              <w:rPr>
                <w:rFonts w:ascii="Arial" w:hAnsi="Arial" w:cs="Arial"/>
                <w:lang w:val="en-US"/>
              </w:rPr>
              <w:t>b</w:t>
            </w:r>
          </w:p>
        </w:tc>
      </w:tr>
      <w:tr w:rsidR="00231DF2" w:rsidRPr="00BE005D" w14:paraId="0947E1A4" w14:textId="77777777" w:rsidTr="002E1D47">
        <w:tc>
          <w:tcPr>
            <w:tcW w:w="9067" w:type="dxa"/>
          </w:tcPr>
          <w:p w14:paraId="56515572" w14:textId="77777777" w:rsidR="00231DF2" w:rsidRPr="00BE005D" w:rsidRDefault="00231DF2" w:rsidP="00231DF2">
            <w:pPr>
              <w:jc w:val="center"/>
              <w:rPr>
                <w:rFonts w:ascii="Arial" w:hAnsi="Arial" w:cs="Arial"/>
                <w:lang w:val="en-US"/>
              </w:rPr>
            </w:pPr>
            <w:r w:rsidRPr="00BE005D">
              <w:rPr>
                <w:rFonts w:ascii="Arial" w:hAnsi="Arial" w:cs="Arial"/>
                <w:noProof/>
              </w:rPr>
              <w:lastRenderedPageBreak/>
              <w:drawing>
                <wp:inline distT="0" distB="0" distL="0" distR="0" wp14:anchorId="7591EAB5" wp14:editId="5333E318">
                  <wp:extent cx="3944982" cy="2031274"/>
                  <wp:effectExtent l="0" t="0" r="5080" b="1270"/>
                  <wp:docPr id="38" name="Gráfico 38">
                    <a:extLst xmlns:a="http://schemas.openxmlformats.org/drawingml/2006/main">
                      <a:ext uri="{FF2B5EF4-FFF2-40B4-BE49-F238E27FC236}">
                        <a16:creationId xmlns:a16="http://schemas.microsoft.com/office/drawing/2014/main" id="{FDE2F0E8-0B67-8940-BE11-7485329CBD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231DF2" w:rsidRPr="00BE005D" w14:paraId="3946038B" w14:textId="77777777" w:rsidTr="002E1D47">
        <w:tblPrEx>
          <w:tblCellMar>
            <w:left w:w="108" w:type="dxa"/>
            <w:right w:w="108" w:type="dxa"/>
          </w:tblCellMar>
        </w:tblPrEx>
        <w:tc>
          <w:tcPr>
            <w:tcW w:w="9067" w:type="dxa"/>
          </w:tcPr>
          <w:p w14:paraId="25A80149" w14:textId="77777777" w:rsidR="00231DF2" w:rsidRPr="00BE005D" w:rsidRDefault="00231DF2" w:rsidP="00231DF2">
            <w:pPr>
              <w:rPr>
                <w:rFonts w:ascii="Arial" w:hAnsi="Arial" w:cs="Arial"/>
                <w:lang w:val="en-US"/>
              </w:rPr>
            </w:pPr>
            <w:r w:rsidRPr="00BE005D">
              <w:rPr>
                <w:rFonts w:ascii="Arial" w:hAnsi="Arial" w:cs="Arial"/>
                <w:lang w:val="en-US"/>
              </w:rPr>
              <w:t>c</w:t>
            </w:r>
          </w:p>
        </w:tc>
      </w:tr>
      <w:tr w:rsidR="00231DF2" w:rsidRPr="00BE005D" w14:paraId="5B22A85F" w14:textId="77777777" w:rsidTr="002E1D47">
        <w:tc>
          <w:tcPr>
            <w:tcW w:w="9067" w:type="dxa"/>
          </w:tcPr>
          <w:p w14:paraId="4E02C3E9" w14:textId="77777777" w:rsidR="00231DF2" w:rsidRPr="00BE005D" w:rsidRDefault="00231DF2" w:rsidP="00231DF2">
            <w:pPr>
              <w:jc w:val="center"/>
              <w:rPr>
                <w:rFonts w:ascii="Arial" w:hAnsi="Arial" w:cs="Arial"/>
                <w:lang w:val="en-US"/>
              </w:rPr>
            </w:pPr>
            <w:r w:rsidRPr="00BE005D">
              <w:rPr>
                <w:rFonts w:ascii="Arial" w:hAnsi="Arial" w:cs="Arial"/>
                <w:noProof/>
              </w:rPr>
              <w:drawing>
                <wp:inline distT="0" distB="0" distL="0" distR="0" wp14:anchorId="0A4A616E" wp14:editId="089BDF12">
                  <wp:extent cx="3944983" cy="2031274"/>
                  <wp:effectExtent l="0" t="0" r="5080" b="1270"/>
                  <wp:docPr id="39" name="Gráfico 39">
                    <a:extLst xmlns:a="http://schemas.openxmlformats.org/drawingml/2006/main">
                      <a:ext uri="{FF2B5EF4-FFF2-40B4-BE49-F238E27FC236}">
                        <a16:creationId xmlns:a16="http://schemas.microsoft.com/office/drawing/2014/main" id="{2DB7E96E-AE5A-0A4D-A2E8-1B35FF530D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5BA21F79" w14:textId="77777777" w:rsidR="00231DF2" w:rsidRPr="00BE005D" w:rsidRDefault="00231DF2" w:rsidP="00231DF2">
      <w:pPr>
        <w:pStyle w:val="Descripcin"/>
        <w:rPr>
          <w:rFonts w:ascii="Arial" w:hAnsi="Arial" w:cs="Arial"/>
          <w:sz w:val="22"/>
          <w:szCs w:val="22"/>
          <w:lang w:val="en-US"/>
        </w:rPr>
      </w:pPr>
    </w:p>
    <w:p w14:paraId="759E526D" w14:textId="4C57296A" w:rsidR="00231DF2" w:rsidRPr="00BE005D" w:rsidRDefault="00231DF2" w:rsidP="00231DF2">
      <w:pPr>
        <w:pStyle w:val="Descripcin"/>
        <w:rPr>
          <w:rFonts w:ascii="Arial" w:hAnsi="Arial" w:cs="Arial"/>
          <w:sz w:val="18"/>
          <w:lang w:val="en-US"/>
        </w:rPr>
      </w:pPr>
      <w:r w:rsidRPr="00BE005D">
        <w:rPr>
          <w:rFonts w:ascii="Arial" w:hAnsi="Arial" w:cs="Arial"/>
          <w:b/>
          <w:bCs w:val="0"/>
          <w:sz w:val="18"/>
          <w:lang w:val="en-US"/>
        </w:rPr>
        <w:t>Fig</w:t>
      </w:r>
      <w:r w:rsidR="00BF0758" w:rsidRPr="00BE005D">
        <w:rPr>
          <w:rFonts w:ascii="Arial" w:hAnsi="Arial" w:cs="Arial"/>
          <w:b/>
          <w:bCs w:val="0"/>
          <w:sz w:val="18"/>
          <w:lang w:val="en-US"/>
        </w:rPr>
        <w:t>ure 3.</w:t>
      </w:r>
      <w:r w:rsidRPr="00BE005D">
        <w:rPr>
          <w:rFonts w:ascii="Arial" w:hAnsi="Arial" w:cs="Arial"/>
          <w:sz w:val="18"/>
          <w:lang w:val="en-US"/>
        </w:rPr>
        <w:t xml:space="preserve"> Change in release of soluble phosphorus on NBRIP supplemented with iron phosphate in submerged culture for 10 days incubation: </w:t>
      </w:r>
      <w:r w:rsidRPr="00BE005D">
        <w:rPr>
          <w:rFonts w:ascii="Arial" w:hAnsi="Arial" w:cs="Arial"/>
          <w:b/>
          <w:bCs w:val="0"/>
          <w:sz w:val="18"/>
          <w:lang w:val="en-US"/>
        </w:rPr>
        <w:t>a.</w:t>
      </w:r>
      <w:r w:rsidRPr="00BE005D">
        <w:rPr>
          <w:rFonts w:ascii="Arial" w:hAnsi="Arial" w:cs="Arial"/>
          <w:sz w:val="18"/>
          <w:lang w:val="en-US"/>
        </w:rPr>
        <w:t xml:space="preserve"> GIBI025. </w:t>
      </w:r>
      <w:r w:rsidRPr="00BE005D">
        <w:rPr>
          <w:rFonts w:ascii="Arial" w:hAnsi="Arial" w:cs="Arial"/>
          <w:b/>
          <w:bCs w:val="0"/>
          <w:sz w:val="18"/>
          <w:lang w:val="en-US"/>
        </w:rPr>
        <w:t>b.</w:t>
      </w:r>
      <w:r w:rsidRPr="00BE005D">
        <w:rPr>
          <w:rFonts w:ascii="Arial" w:hAnsi="Arial" w:cs="Arial"/>
          <w:sz w:val="18"/>
          <w:lang w:val="en-US"/>
        </w:rPr>
        <w:t xml:space="preserve"> GIBI029. </w:t>
      </w:r>
      <w:r w:rsidRPr="00BE005D">
        <w:rPr>
          <w:rFonts w:ascii="Arial" w:hAnsi="Arial" w:cs="Arial"/>
          <w:b/>
          <w:bCs w:val="0"/>
          <w:sz w:val="18"/>
          <w:lang w:val="en-US"/>
        </w:rPr>
        <w:t>c.</w:t>
      </w:r>
      <w:r w:rsidRPr="00BE005D">
        <w:rPr>
          <w:rFonts w:ascii="Arial" w:hAnsi="Arial" w:cs="Arial"/>
          <w:sz w:val="18"/>
          <w:lang w:val="en-US"/>
        </w:rPr>
        <w:t xml:space="preserve"> ATCC49037. </w:t>
      </w:r>
    </w:p>
    <w:p w14:paraId="335E65B3" w14:textId="47704CEF" w:rsidR="00231DF2" w:rsidRPr="00BE005D" w:rsidRDefault="00231DF2" w:rsidP="005416C1">
      <w:pPr>
        <w:jc w:val="both"/>
        <w:rPr>
          <w:rFonts w:ascii="Arial" w:hAnsi="Arial" w:cs="Arial"/>
          <w:lang w:val="en-US"/>
        </w:rPr>
      </w:pPr>
    </w:p>
    <w:p w14:paraId="25383FA8" w14:textId="68487A4E" w:rsidR="005416C1" w:rsidRPr="00BE005D" w:rsidRDefault="005416C1" w:rsidP="005416C1">
      <w:pPr>
        <w:jc w:val="both"/>
        <w:rPr>
          <w:rFonts w:ascii="Arial" w:hAnsi="Arial" w:cs="Arial"/>
          <w:sz w:val="22"/>
          <w:szCs w:val="22"/>
          <w:lang w:val="en-US"/>
        </w:rPr>
      </w:pPr>
      <w:r w:rsidRPr="00BE005D">
        <w:rPr>
          <w:rFonts w:ascii="Arial" w:hAnsi="Arial" w:cs="Arial"/>
          <w:sz w:val="22"/>
          <w:szCs w:val="22"/>
          <w:lang w:val="en-US"/>
        </w:rPr>
        <w:t>In the media supplemented with tricalcium phosphate, the behavior of the microorganisms was similar with an initial decrease in pH followed by alkalization. However, the media inoculated with the native isolates showed the lowest values at 24 hours of incubation (pH 4</w:t>
      </w:r>
      <w:r w:rsidR="00745CD5" w:rsidRPr="00BE005D">
        <w:rPr>
          <w:rFonts w:ascii="Arial" w:hAnsi="Arial" w:cs="Arial"/>
          <w:sz w:val="22"/>
          <w:szCs w:val="22"/>
          <w:lang w:val="en-US"/>
        </w:rPr>
        <w:t>,</w:t>
      </w:r>
      <w:r w:rsidRPr="00BE005D">
        <w:rPr>
          <w:rFonts w:ascii="Arial" w:hAnsi="Arial" w:cs="Arial"/>
          <w:sz w:val="22"/>
          <w:szCs w:val="22"/>
          <w:lang w:val="en-US"/>
        </w:rPr>
        <w:t>11 in both cases) and, from this time, a progressive alkalizing occurred to pH 8</w:t>
      </w:r>
      <w:r w:rsidR="00745CD5" w:rsidRPr="00BE005D">
        <w:rPr>
          <w:rFonts w:ascii="Arial" w:hAnsi="Arial" w:cs="Arial"/>
          <w:sz w:val="22"/>
          <w:szCs w:val="22"/>
          <w:lang w:val="en-US"/>
        </w:rPr>
        <w:t>,</w:t>
      </w:r>
      <w:r w:rsidRPr="00BE005D">
        <w:rPr>
          <w:rFonts w:ascii="Arial" w:hAnsi="Arial" w:cs="Arial"/>
          <w:sz w:val="22"/>
          <w:szCs w:val="22"/>
          <w:lang w:val="en-US"/>
        </w:rPr>
        <w:t>0, stabilizing at 144 hours. In contrast, strain ATCC 49037 reached the minimum pH after 48 hours incubation (pH 4</w:t>
      </w:r>
      <w:r w:rsidR="00745CD5" w:rsidRPr="00BE005D">
        <w:rPr>
          <w:rFonts w:ascii="Arial" w:hAnsi="Arial" w:cs="Arial"/>
          <w:sz w:val="22"/>
          <w:szCs w:val="22"/>
          <w:lang w:val="en-US"/>
        </w:rPr>
        <w:t>,</w:t>
      </w:r>
      <w:r w:rsidRPr="00BE005D">
        <w:rPr>
          <w:rFonts w:ascii="Arial" w:hAnsi="Arial" w:cs="Arial"/>
          <w:sz w:val="22"/>
          <w:szCs w:val="22"/>
          <w:lang w:val="en-US"/>
        </w:rPr>
        <w:t>27) and alkalization of the medium appeared at 96 hours, reaching a pH of 8</w:t>
      </w:r>
      <w:r w:rsidR="00745CD5" w:rsidRPr="00BE005D">
        <w:rPr>
          <w:rFonts w:ascii="Arial" w:hAnsi="Arial" w:cs="Arial"/>
          <w:sz w:val="22"/>
          <w:szCs w:val="22"/>
          <w:lang w:val="en-US"/>
        </w:rPr>
        <w:t>,</w:t>
      </w:r>
      <w:r w:rsidRPr="00BE005D">
        <w:rPr>
          <w:rFonts w:ascii="Arial" w:hAnsi="Arial" w:cs="Arial"/>
          <w:sz w:val="22"/>
          <w:szCs w:val="22"/>
          <w:lang w:val="en-US"/>
        </w:rPr>
        <w:t>0 at 216 hours (Fig</w:t>
      </w:r>
      <w:r w:rsidR="00C83584" w:rsidRPr="00BE005D">
        <w:rPr>
          <w:rFonts w:ascii="Arial" w:hAnsi="Arial" w:cs="Arial"/>
          <w:sz w:val="22"/>
          <w:szCs w:val="22"/>
          <w:lang w:val="en-US"/>
        </w:rPr>
        <w:t>ure</w:t>
      </w:r>
      <w:r w:rsidRPr="00BE005D">
        <w:rPr>
          <w:rFonts w:ascii="Arial" w:hAnsi="Arial" w:cs="Arial"/>
          <w:sz w:val="22"/>
          <w:szCs w:val="22"/>
          <w:lang w:val="en-US"/>
        </w:rPr>
        <w:t xml:space="preserve"> </w:t>
      </w:r>
      <w:r w:rsidR="00D446E4" w:rsidRPr="00BE005D">
        <w:rPr>
          <w:rFonts w:ascii="Arial" w:hAnsi="Arial" w:cs="Arial"/>
          <w:sz w:val="22"/>
          <w:szCs w:val="22"/>
          <w:lang w:val="en-US"/>
        </w:rPr>
        <w:t>1</w:t>
      </w:r>
      <w:r w:rsidRPr="00BE005D">
        <w:rPr>
          <w:rFonts w:ascii="Arial" w:hAnsi="Arial" w:cs="Arial"/>
          <w:sz w:val="22"/>
          <w:szCs w:val="22"/>
          <w:lang w:val="en-US"/>
        </w:rPr>
        <w:t>). Lower pH values contrast with the maximum free P, which could be explained by the action of the organic acids released during the cell growth and development (</w:t>
      </w:r>
      <w:r w:rsidR="005645DC" w:rsidRPr="00BE005D">
        <w:rPr>
          <w:rFonts w:ascii="Arial" w:hAnsi="Arial" w:cs="Arial"/>
          <w:sz w:val="22"/>
          <w:szCs w:val="22"/>
          <w:lang w:val="en-US"/>
        </w:rPr>
        <w:t xml:space="preserve">Macias </w:t>
      </w:r>
      <w:r w:rsidR="005645DC" w:rsidRPr="00BE005D">
        <w:rPr>
          <w:rFonts w:ascii="Arial" w:hAnsi="Arial" w:cs="Arial"/>
          <w:i/>
          <w:iCs/>
          <w:sz w:val="22"/>
          <w:szCs w:val="22"/>
          <w:lang w:val="en-US"/>
        </w:rPr>
        <w:t>et al</w:t>
      </w:r>
      <w:r w:rsidR="005645DC" w:rsidRPr="00BE005D">
        <w:rPr>
          <w:rFonts w:ascii="Arial" w:hAnsi="Arial" w:cs="Arial"/>
          <w:sz w:val="22"/>
          <w:szCs w:val="22"/>
          <w:lang w:val="en-US"/>
        </w:rPr>
        <w:t>., 2020</w:t>
      </w:r>
      <w:r w:rsidRPr="00BE005D">
        <w:rPr>
          <w:rFonts w:ascii="Arial" w:hAnsi="Arial" w:cs="Arial"/>
          <w:sz w:val="22"/>
          <w:szCs w:val="22"/>
          <w:lang w:val="en-US"/>
        </w:rPr>
        <w:t>). The three bacteria evaluated decreased the pH of the media supplemented with aluminum phosphate and iron phosphate between 0 and 24 hours of incubation and remained at these values until the end of the experiment (pH 2</w:t>
      </w:r>
      <w:r w:rsidR="00745CD5" w:rsidRPr="00BE005D">
        <w:rPr>
          <w:rFonts w:ascii="Arial" w:hAnsi="Arial" w:cs="Arial"/>
          <w:sz w:val="22"/>
          <w:szCs w:val="22"/>
          <w:lang w:val="en-US"/>
        </w:rPr>
        <w:t>,</w:t>
      </w:r>
      <w:r w:rsidRPr="00BE005D">
        <w:rPr>
          <w:rFonts w:ascii="Arial" w:hAnsi="Arial" w:cs="Arial"/>
          <w:sz w:val="22"/>
          <w:szCs w:val="22"/>
          <w:lang w:val="en-US"/>
        </w:rPr>
        <w:t>5 for native isolates and pH 3</w:t>
      </w:r>
      <w:r w:rsidR="00745CD5" w:rsidRPr="00BE005D">
        <w:rPr>
          <w:rFonts w:ascii="Arial" w:hAnsi="Arial" w:cs="Arial"/>
          <w:sz w:val="22"/>
          <w:szCs w:val="22"/>
          <w:lang w:val="en-US"/>
        </w:rPr>
        <w:t>,</w:t>
      </w:r>
      <w:r w:rsidRPr="00BE005D">
        <w:rPr>
          <w:rFonts w:ascii="Arial" w:hAnsi="Arial" w:cs="Arial"/>
          <w:sz w:val="22"/>
          <w:szCs w:val="22"/>
          <w:lang w:val="en-US"/>
        </w:rPr>
        <w:t>3 for strain ATCC 49037). However, the maximum levels of free P were observed between 120-192 hours of incubation.</w:t>
      </w:r>
    </w:p>
    <w:p w14:paraId="79EED496" w14:textId="77777777" w:rsidR="005416C1" w:rsidRPr="00BE005D" w:rsidRDefault="005416C1" w:rsidP="005416C1">
      <w:pPr>
        <w:jc w:val="both"/>
        <w:rPr>
          <w:rFonts w:ascii="Arial" w:hAnsi="Arial" w:cs="Arial"/>
          <w:sz w:val="22"/>
          <w:szCs w:val="22"/>
          <w:lang w:val="en-US"/>
        </w:rPr>
      </w:pPr>
    </w:p>
    <w:p w14:paraId="5A5E8669" w14:textId="77777777" w:rsidR="005416C1" w:rsidRPr="00BE005D" w:rsidRDefault="005416C1" w:rsidP="005416C1">
      <w:pPr>
        <w:jc w:val="both"/>
        <w:rPr>
          <w:rFonts w:ascii="Arial" w:hAnsi="Arial" w:cs="Arial"/>
          <w:sz w:val="22"/>
          <w:szCs w:val="22"/>
          <w:lang w:val="en-US"/>
        </w:rPr>
      </w:pPr>
      <w:r w:rsidRPr="00BE005D">
        <w:rPr>
          <w:rFonts w:ascii="Arial" w:hAnsi="Arial" w:cs="Arial"/>
          <w:b/>
          <w:bCs/>
          <w:i/>
          <w:iCs/>
          <w:sz w:val="22"/>
          <w:szCs w:val="22"/>
          <w:lang w:val="en-US"/>
        </w:rPr>
        <w:t xml:space="preserve">S. </w:t>
      </w:r>
      <w:proofErr w:type="spellStart"/>
      <w:r w:rsidRPr="00BE005D">
        <w:rPr>
          <w:rFonts w:ascii="Arial" w:hAnsi="Arial" w:cs="Arial"/>
          <w:b/>
          <w:bCs/>
          <w:i/>
          <w:iCs/>
          <w:sz w:val="22"/>
          <w:szCs w:val="22"/>
          <w:lang w:val="en-US"/>
        </w:rPr>
        <w:t>lycopersicum</w:t>
      </w:r>
      <w:proofErr w:type="spellEnd"/>
      <w:r w:rsidRPr="00BE005D">
        <w:rPr>
          <w:rFonts w:ascii="Arial" w:hAnsi="Arial" w:cs="Arial"/>
          <w:b/>
          <w:bCs/>
          <w:sz w:val="22"/>
          <w:szCs w:val="22"/>
          <w:lang w:val="en-US"/>
        </w:rPr>
        <w:t xml:space="preserve"> culture response to inoculation with </w:t>
      </w:r>
      <w:r w:rsidRPr="00BE005D">
        <w:rPr>
          <w:rFonts w:ascii="Arial" w:hAnsi="Arial" w:cs="Arial"/>
          <w:b/>
          <w:bCs/>
          <w:i/>
          <w:iCs/>
          <w:sz w:val="22"/>
          <w:szCs w:val="22"/>
          <w:lang w:val="en-US"/>
        </w:rPr>
        <w:t>G. diazotrophicus</w:t>
      </w:r>
    </w:p>
    <w:p w14:paraId="7757572A" w14:textId="77777777" w:rsidR="005416C1" w:rsidRPr="00BE005D" w:rsidRDefault="005416C1" w:rsidP="005416C1">
      <w:pPr>
        <w:jc w:val="both"/>
        <w:rPr>
          <w:rFonts w:ascii="Arial" w:hAnsi="Arial" w:cs="Arial"/>
          <w:b/>
          <w:bCs/>
          <w:sz w:val="22"/>
          <w:szCs w:val="22"/>
          <w:lang w:val="en-US"/>
        </w:rPr>
      </w:pPr>
    </w:p>
    <w:p w14:paraId="6CB7CB1C" w14:textId="2C5A4B52" w:rsidR="005416C1" w:rsidRPr="00BE005D" w:rsidRDefault="005416C1" w:rsidP="005416C1">
      <w:pPr>
        <w:jc w:val="both"/>
        <w:rPr>
          <w:rFonts w:ascii="Arial" w:hAnsi="Arial" w:cs="Arial"/>
          <w:sz w:val="22"/>
          <w:szCs w:val="22"/>
          <w:lang w:val="en-US"/>
        </w:rPr>
      </w:pPr>
      <w:r w:rsidRPr="00BE005D">
        <w:rPr>
          <w:rFonts w:ascii="Arial" w:hAnsi="Arial" w:cs="Arial"/>
          <w:sz w:val="22"/>
          <w:szCs w:val="22"/>
          <w:lang w:val="en-US"/>
        </w:rPr>
        <w:t>Indigenous isolates GIBI 025 and 029 reached statistically similar responses to the control (P), with values between 0</w:t>
      </w:r>
      <w:r w:rsidR="00745CD5" w:rsidRPr="00BE005D">
        <w:rPr>
          <w:rFonts w:ascii="Arial" w:hAnsi="Arial" w:cs="Arial"/>
          <w:sz w:val="22"/>
          <w:szCs w:val="22"/>
          <w:lang w:val="en-US"/>
        </w:rPr>
        <w:t>,</w:t>
      </w:r>
      <w:r w:rsidRPr="00BE005D">
        <w:rPr>
          <w:rFonts w:ascii="Arial" w:hAnsi="Arial" w:cs="Arial"/>
          <w:sz w:val="22"/>
          <w:szCs w:val="22"/>
          <w:lang w:val="en-US"/>
        </w:rPr>
        <w:t>38 and 0</w:t>
      </w:r>
      <w:r w:rsidR="00745CD5" w:rsidRPr="00BE005D">
        <w:rPr>
          <w:rFonts w:ascii="Arial" w:hAnsi="Arial" w:cs="Arial"/>
          <w:sz w:val="22"/>
          <w:szCs w:val="22"/>
          <w:lang w:val="en-US"/>
        </w:rPr>
        <w:t>,</w:t>
      </w:r>
      <w:r w:rsidRPr="00BE005D">
        <w:rPr>
          <w:rFonts w:ascii="Arial" w:hAnsi="Arial" w:cs="Arial"/>
          <w:sz w:val="22"/>
          <w:szCs w:val="22"/>
          <w:lang w:val="en-US"/>
        </w:rPr>
        <w:t xml:space="preserve">41 g/plant. However, GIBI 025 (without P) showed the best expression, reaching a behavior statistically similar to GIBI 025 and GIBI 029 with addition of P, indicating increased efficiency for isolate GIBI 025 to solubilization of P immobilized in the soil, resulting in the increased development of plants in the total mass (Table 2). Furthermore, isolates GIBI 025 and GIBI 029 with or without addition of P were more efficient in all cases compared to </w:t>
      </w:r>
      <w:r w:rsidRPr="00BE005D">
        <w:rPr>
          <w:rFonts w:ascii="Arial" w:hAnsi="Arial" w:cs="Arial"/>
          <w:sz w:val="22"/>
          <w:szCs w:val="22"/>
          <w:lang w:val="en-US"/>
        </w:rPr>
        <w:lastRenderedPageBreak/>
        <w:t>strain ATCC 49037. The type strain showed the lowest plant growth promotion in the absence of P, with values below the absolute treatment (without addition of P), which could be related to the requirements of P by the bacterium for cell metabolism.</w:t>
      </w:r>
    </w:p>
    <w:p w14:paraId="5B727FC5" w14:textId="529C828E" w:rsidR="004E66E1" w:rsidRPr="00BE005D" w:rsidRDefault="004E66E1" w:rsidP="005416C1">
      <w:pPr>
        <w:jc w:val="both"/>
        <w:rPr>
          <w:rFonts w:ascii="Arial" w:hAnsi="Arial" w:cs="Arial"/>
          <w:lang w:val="en-US"/>
        </w:rPr>
      </w:pPr>
    </w:p>
    <w:p w14:paraId="174208D4" w14:textId="15EC0D85" w:rsidR="004E66E1" w:rsidRPr="00BE005D" w:rsidRDefault="004E66E1" w:rsidP="00745CD5">
      <w:pPr>
        <w:jc w:val="both"/>
        <w:rPr>
          <w:rFonts w:ascii="Arial" w:hAnsi="Arial" w:cs="Arial"/>
          <w:lang w:val="en-US"/>
        </w:rPr>
      </w:pPr>
      <w:r w:rsidRPr="00BE005D">
        <w:rPr>
          <w:rFonts w:ascii="Arial" w:hAnsi="Arial" w:cs="Arial"/>
          <w:b/>
          <w:bCs/>
          <w:sz w:val="20"/>
          <w:szCs w:val="20"/>
          <w:lang w:val="en-US"/>
        </w:rPr>
        <w:t>Table 2</w:t>
      </w:r>
      <w:r w:rsidR="00BF0758" w:rsidRPr="00BE005D">
        <w:rPr>
          <w:rFonts w:ascii="Arial" w:hAnsi="Arial" w:cs="Arial"/>
          <w:b/>
          <w:bCs/>
          <w:sz w:val="20"/>
          <w:szCs w:val="20"/>
          <w:lang w:val="en-US"/>
        </w:rPr>
        <w:t>.</w:t>
      </w:r>
      <w:r w:rsidRPr="00BE005D">
        <w:rPr>
          <w:rFonts w:ascii="Arial" w:hAnsi="Arial" w:cs="Arial"/>
          <w:sz w:val="20"/>
          <w:szCs w:val="20"/>
          <w:lang w:val="en-US"/>
        </w:rPr>
        <w:t xml:space="preserve"> Comparison of means Duncan of variables related to plant growth promotion in seedlings of tomato inoculated with </w:t>
      </w:r>
      <w:r w:rsidRPr="00BE005D">
        <w:rPr>
          <w:rFonts w:ascii="Arial" w:hAnsi="Arial" w:cs="Arial"/>
          <w:i/>
          <w:sz w:val="20"/>
          <w:szCs w:val="20"/>
          <w:lang w:val="en-US"/>
        </w:rPr>
        <w:t>G. diazotrophicus</w:t>
      </w:r>
      <w:r w:rsidRPr="00BE005D">
        <w:rPr>
          <w:rFonts w:ascii="Arial" w:hAnsi="Arial" w:cs="Arial"/>
          <w:sz w:val="20"/>
          <w:szCs w:val="20"/>
          <w:lang w:val="en-US"/>
        </w:rPr>
        <w:t xml:space="preserve"> in the presence and absence of phosphorus fertilizer.</w:t>
      </w:r>
    </w:p>
    <w:p w14:paraId="5B59601E" w14:textId="77777777" w:rsidR="004E66E1" w:rsidRPr="00BE005D" w:rsidRDefault="004E66E1" w:rsidP="004E66E1">
      <w:pPr>
        <w:rPr>
          <w:rFonts w:ascii="Arial" w:hAnsi="Arial" w:cs="Arial"/>
          <w:lang w:val="en-US"/>
        </w:rPr>
      </w:pPr>
    </w:p>
    <w:tbl>
      <w:tblPr>
        <w:tblW w:w="8890" w:type="dxa"/>
        <w:tblInd w:w="55" w:type="dxa"/>
        <w:tblCellMar>
          <w:left w:w="70" w:type="dxa"/>
          <w:right w:w="70" w:type="dxa"/>
        </w:tblCellMar>
        <w:tblLook w:val="04A0" w:firstRow="1" w:lastRow="0" w:firstColumn="1" w:lastColumn="0" w:noHBand="0" w:noVBand="1"/>
      </w:tblPr>
      <w:tblGrid>
        <w:gridCol w:w="2142"/>
        <w:gridCol w:w="771"/>
        <w:gridCol w:w="1018"/>
        <w:gridCol w:w="815"/>
        <w:gridCol w:w="1063"/>
        <w:gridCol w:w="781"/>
        <w:gridCol w:w="764"/>
        <w:gridCol w:w="768"/>
        <w:gridCol w:w="768"/>
      </w:tblGrid>
      <w:tr w:rsidR="004E66E1" w:rsidRPr="00BE005D" w14:paraId="580213C7" w14:textId="77777777" w:rsidTr="00CD616B">
        <w:trPr>
          <w:trHeight w:val="300"/>
        </w:trPr>
        <w:tc>
          <w:tcPr>
            <w:tcW w:w="2142" w:type="dxa"/>
            <w:vMerge w:val="restart"/>
            <w:tcBorders>
              <w:top w:val="single" w:sz="4" w:space="0" w:color="auto"/>
              <w:bottom w:val="single" w:sz="4" w:space="0" w:color="auto"/>
            </w:tcBorders>
            <w:shd w:val="clear" w:color="auto" w:fill="auto"/>
            <w:noWrap/>
            <w:vAlign w:val="center"/>
            <w:hideMark/>
          </w:tcPr>
          <w:p w14:paraId="0EC93418" w14:textId="77777777" w:rsidR="004E66E1" w:rsidRPr="00BE005D" w:rsidRDefault="004E66E1" w:rsidP="004E66E1">
            <w:pPr>
              <w:jc w:val="center"/>
              <w:rPr>
                <w:rFonts w:ascii="Arial" w:hAnsi="Arial" w:cs="Arial"/>
                <w:bCs/>
                <w:color w:val="000000"/>
                <w:sz w:val="16"/>
                <w:szCs w:val="18"/>
                <w:lang w:val="en-US"/>
              </w:rPr>
            </w:pPr>
            <w:r w:rsidRPr="00BE005D">
              <w:rPr>
                <w:rFonts w:ascii="Arial" w:hAnsi="Arial" w:cs="Arial"/>
                <w:bCs/>
                <w:color w:val="000000"/>
                <w:sz w:val="16"/>
                <w:szCs w:val="18"/>
                <w:lang w:val="en-US"/>
              </w:rPr>
              <w:t>Variables evaluated</w:t>
            </w:r>
          </w:p>
        </w:tc>
        <w:tc>
          <w:tcPr>
            <w:tcW w:w="1789" w:type="dxa"/>
            <w:gridSpan w:val="2"/>
            <w:tcBorders>
              <w:top w:val="single" w:sz="4" w:space="0" w:color="auto"/>
              <w:bottom w:val="single" w:sz="4" w:space="0" w:color="auto"/>
            </w:tcBorders>
            <w:shd w:val="clear" w:color="auto" w:fill="auto"/>
            <w:noWrap/>
            <w:vAlign w:val="center"/>
            <w:hideMark/>
          </w:tcPr>
          <w:p w14:paraId="57E04459" w14:textId="77777777" w:rsidR="004E66E1" w:rsidRPr="00BE005D" w:rsidRDefault="004E66E1" w:rsidP="004E66E1">
            <w:pPr>
              <w:jc w:val="center"/>
              <w:rPr>
                <w:rFonts w:ascii="Arial" w:hAnsi="Arial" w:cs="Arial"/>
                <w:bCs/>
                <w:color w:val="000000"/>
                <w:sz w:val="16"/>
                <w:szCs w:val="18"/>
                <w:lang w:val="en-US"/>
              </w:rPr>
            </w:pPr>
            <w:r w:rsidRPr="00BE005D">
              <w:rPr>
                <w:rFonts w:ascii="Arial" w:hAnsi="Arial" w:cs="Arial"/>
                <w:bCs/>
                <w:color w:val="000000"/>
                <w:sz w:val="16"/>
                <w:szCs w:val="18"/>
                <w:lang w:val="en-US"/>
              </w:rPr>
              <w:t>GIBI025</w:t>
            </w:r>
          </w:p>
        </w:tc>
        <w:tc>
          <w:tcPr>
            <w:tcW w:w="1878" w:type="dxa"/>
            <w:gridSpan w:val="2"/>
            <w:tcBorders>
              <w:top w:val="single" w:sz="4" w:space="0" w:color="auto"/>
              <w:bottom w:val="single" w:sz="4" w:space="0" w:color="auto"/>
            </w:tcBorders>
            <w:shd w:val="clear" w:color="auto" w:fill="auto"/>
            <w:noWrap/>
            <w:vAlign w:val="center"/>
            <w:hideMark/>
          </w:tcPr>
          <w:p w14:paraId="51AAFD0C" w14:textId="77777777" w:rsidR="004E66E1" w:rsidRPr="00BE005D" w:rsidRDefault="004E66E1" w:rsidP="004E66E1">
            <w:pPr>
              <w:jc w:val="center"/>
              <w:rPr>
                <w:rFonts w:ascii="Arial" w:hAnsi="Arial" w:cs="Arial"/>
                <w:bCs/>
                <w:color w:val="000000"/>
                <w:sz w:val="16"/>
                <w:szCs w:val="18"/>
                <w:lang w:val="en-US"/>
              </w:rPr>
            </w:pPr>
            <w:r w:rsidRPr="00BE005D">
              <w:rPr>
                <w:rFonts w:ascii="Arial" w:hAnsi="Arial" w:cs="Arial"/>
                <w:bCs/>
                <w:color w:val="000000"/>
                <w:sz w:val="16"/>
                <w:szCs w:val="18"/>
                <w:lang w:val="en-US"/>
              </w:rPr>
              <w:t>GIBI029</w:t>
            </w:r>
          </w:p>
        </w:tc>
        <w:tc>
          <w:tcPr>
            <w:tcW w:w="1545" w:type="dxa"/>
            <w:gridSpan w:val="2"/>
            <w:tcBorders>
              <w:top w:val="single" w:sz="4" w:space="0" w:color="auto"/>
              <w:bottom w:val="single" w:sz="4" w:space="0" w:color="auto"/>
            </w:tcBorders>
            <w:shd w:val="clear" w:color="auto" w:fill="auto"/>
            <w:noWrap/>
            <w:vAlign w:val="center"/>
            <w:hideMark/>
          </w:tcPr>
          <w:p w14:paraId="27BA92B9" w14:textId="77777777" w:rsidR="004E66E1" w:rsidRPr="00BE005D" w:rsidRDefault="004E66E1" w:rsidP="004E66E1">
            <w:pPr>
              <w:jc w:val="center"/>
              <w:rPr>
                <w:rFonts w:ascii="Arial" w:hAnsi="Arial" w:cs="Arial"/>
                <w:bCs/>
                <w:color w:val="000000"/>
                <w:sz w:val="16"/>
                <w:szCs w:val="18"/>
                <w:lang w:val="en-US"/>
              </w:rPr>
            </w:pPr>
            <w:r w:rsidRPr="00BE005D">
              <w:rPr>
                <w:rFonts w:ascii="Arial" w:hAnsi="Arial" w:cs="Arial"/>
                <w:bCs/>
                <w:color w:val="000000"/>
                <w:sz w:val="16"/>
                <w:szCs w:val="18"/>
                <w:lang w:val="en-US"/>
              </w:rPr>
              <w:t>ATCC 49037</w:t>
            </w:r>
          </w:p>
        </w:tc>
        <w:tc>
          <w:tcPr>
            <w:tcW w:w="1536" w:type="dxa"/>
            <w:gridSpan w:val="2"/>
            <w:tcBorders>
              <w:top w:val="single" w:sz="4" w:space="0" w:color="auto"/>
              <w:bottom w:val="single" w:sz="4" w:space="0" w:color="auto"/>
            </w:tcBorders>
            <w:shd w:val="clear" w:color="auto" w:fill="auto"/>
            <w:noWrap/>
            <w:vAlign w:val="center"/>
            <w:hideMark/>
          </w:tcPr>
          <w:p w14:paraId="3B9B831F" w14:textId="77777777" w:rsidR="004E66E1" w:rsidRPr="00BE005D" w:rsidRDefault="004E66E1" w:rsidP="004E66E1">
            <w:pPr>
              <w:jc w:val="center"/>
              <w:rPr>
                <w:rFonts w:ascii="Arial" w:hAnsi="Arial" w:cs="Arial"/>
                <w:bCs/>
                <w:color w:val="000000"/>
                <w:sz w:val="16"/>
                <w:szCs w:val="18"/>
                <w:lang w:val="en-US"/>
              </w:rPr>
            </w:pPr>
            <w:r w:rsidRPr="00BE005D">
              <w:rPr>
                <w:rFonts w:ascii="Arial" w:hAnsi="Arial" w:cs="Arial"/>
                <w:bCs/>
                <w:color w:val="000000"/>
                <w:sz w:val="16"/>
                <w:szCs w:val="18"/>
                <w:lang w:val="en-US"/>
              </w:rPr>
              <w:t>CONTROL</w:t>
            </w:r>
          </w:p>
        </w:tc>
      </w:tr>
      <w:tr w:rsidR="004E66E1" w:rsidRPr="00BE005D" w14:paraId="66B14262" w14:textId="77777777" w:rsidTr="00CD616B">
        <w:trPr>
          <w:trHeight w:val="300"/>
        </w:trPr>
        <w:tc>
          <w:tcPr>
            <w:tcW w:w="2142" w:type="dxa"/>
            <w:vMerge/>
            <w:tcBorders>
              <w:top w:val="single" w:sz="4" w:space="0" w:color="auto"/>
              <w:bottom w:val="single" w:sz="4" w:space="0" w:color="auto"/>
            </w:tcBorders>
            <w:vAlign w:val="center"/>
            <w:hideMark/>
          </w:tcPr>
          <w:p w14:paraId="62BD9920" w14:textId="77777777" w:rsidR="004E66E1" w:rsidRPr="00BE005D" w:rsidRDefault="004E66E1" w:rsidP="004E66E1">
            <w:pPr>
              <w:rPr>
                <w:rFonts w:ascii="Arial" w:hAnsi="Arial" w:cs="Arial"/>
                <w:bCs/>
                <w:color w:val="000000"/>
                <w:sz w:val="16"/>
                <w:szCs w:val="18"/>
                <w:lang w:val="en-US"/>
              </w:rPr>
            </w:pPr>
          </w:p>
        </w:tc>
        <w:tc>
          <w:tcPr>
            <w:tcW w:w="771" w:type="dxa"/>
            <w:tcBorders>
              <w:top w:val="nil"/>
              <w:bottom w:val="single" w:sz="4" w:space="0" w:color="auto"/>
            </w:tcBorders>
            <w:shd w:val="clear" w:color="auto" w:fill="auto"/>
            <w:noWrap/>
            <w:vAlign w:val="center"/>
            <w:hideMark/>
          </w:tcPr>
          <w:p w14:paraId="1EA846AE" w14:textId="77777777" w:rsidR="004E66E1" w:rsidRPr="00BE005D" w:rsidRDefault="004E66E1" w:rsidP="004E66E1">
            <w:pPr>
              <w:jc w:val="center"/>
              <w:rPr>
                <w:rFonts w:ascii="Arial" w:hAnsi="Arial" w:cs="Arial"/>
                <w:bCs/>
                <w:color w:val="000000"/>
                <w:sz w:val="14"/>
                <w:szCs w:val="14"/>
                <w:lang w:val="en-US"/>
              </w:rPr>
            </w:pPr>
            <w:r w:rsidRPr="00BE005D">
              <w:rPr>
                <w:rFonts w:ascii="Arial" w:hAnsi="Arial" w:cs="Arial"/>
                <w:bCs/>
                <w:color w:val="000000"/>
                <w:sz w:val="14"/>
                <w:szCs w:val="14"/>
                <w:lang w:val="en-US"/>
              </w:rPr>
              <w:t>Without P</w:t>
            </w:r>
          </w:p>
        </w:tc>
        <w:tc>
          <w:tcPr>
            <w:tcW w:w="1018" w:type="dxa"/>
            <w:tcBorders>
              <w:top w:val="nil"/>
              <w:bottom w:val="single" w:sz="4" w:space="0" w:color="auto"/>
            </w:tcBorders>
            <w:shd w:val="clear" w:color="auto" w:fill="auto"/>
            <w:noWrap/>
            <w:vAlign w:val="center"/>
            <w:hideMark/>
          </w:tcPr>
          <w:p w14:paraId="38AC43D3" w14:textId="77777777" w:rsidR="004E66E1" w:rsidRPr="00BE005D" w:rsidRDefault="004E66E1" w:rsidP="004E66E1">
            <w:pPr>
              <w:jc w:val="center"/>
              <w:rPr>
                <w:rFonts w:ascii="Arial" w:hAnsi="Arial" w:cs="Arial"/>
                <w:bCs/>
                <w:color w:val="000000"/>
                <w:sz w:val="14"/>
                <w:szCs w:val="14"/>
                <w:lang w:val="en-US"/>
              </w:rPr>
            </w:pPr>
            <w:r w:rsidRPr="00BE005D">
              <w:rPr>
                <w:rFonts w:ascii="Arial" w:hAnsi="Arial" w:cs="Arial"/>
                <w:bCs/>
                <w:color w:val="000000"/>
                <w:sz w:val="14"/>
                <w:szCs w:val="14"/>
                <w:lang w:val="en-US"/>
              </w:rPr>
              <w:t>With P</w:t>
            </w:r>
          </w:p>
        </w:tc>
        <w:tc>
          <w:tcPr>
            <w:tcW w:w="815" w:type="dxa"/>
            <w:tcBorders>
              <w:top w:val="nil"/>
              <w:bottom w:val="single" w:sz="4" w:space="0" w:color="auto"/>
            </w:tcBorders>
            <w:shd w:val="clear" w:color="auto" w:fill="auto"/>
            <w:noWrap/>
            <w:vAlign w:val="center"/>
            <w:hideMark/>
          </w:tcPr>
          <w:p w14:paraId="43B2BB7C" w14:textId="77777777" w:rsidR="004E66E1" w:rsidRPr="00BE005D" w:rsidRDefault="004E66E1" w:rsidP="004E66E1">
            <w:pPr>
              <w:jc w:val="center"/>
              <w:rPr>
                <w:rFonts w:ascii="Arial" w:hAnsi="Arial" w:cs="Arial"/>
                <w:bCs/>
                <w:color w:val="000000"/>
                <w:sz w:val="14"/>
                <w:szCs w:val="14"/>
                <w:lang w:val="en-US"/>
              </w:rPr>
            </w:pPr>
            <w:r w:rsidRPr="00BE005D">
              <w:rPr>
                <w:rFonts w:ascii="Arial" w:hAnsi="Arial" w:cs="Arial"/>
                <w:bCs/>
                <w:color w:val="000000"/>
                <w:sz w:val="14"/>
                <w:szCs w:val="14"/>
                <w:lang w:val="en-US"/>
              </w:rPr>
              <w:t>Without P</w:t>
            </w:r>
          </w:p>
        </w:tc>
        <w:tc>
          <w:tcPr>
            <w:tcW w:w="1063" w:type="dxa"/>
            <w:tcBorders>
              <w:top w:val="nil"/>
              <w:bottom w:val="single" w:sz="4" w:space="0" w:color="auto"/>
            </w:tcBorders>
            <w:shd w:val="clear" w:color="auto" w:fill="auto"/>
            <w:noWrap/>
            <w:vAlign w:val="center"/>
            <w:hideMark/>
          </w:tcPr>
          <w:p w14:paraId="3ACF68FA" w14:textId="77777777" w:rsidR="004E66E1" w:rsidRPr="00BE005D" w:rsidRDefault="004E66E1" w:rsidP="004E66E1">
            <w:pPr>
              <w:jc w:val="center"/>
              <w:rPr>
                <w:rFonts w:ascii="Arial" w:hAnsi="Arial" w:cs="Arial"/>
                <w:bCs/>
                <w:color w:val="000000"/>
                <w:sz w:val="14"/>
                <w:szCs w:val="14"/>
                <w:lang w:val="en-US"/>
              </w:rPr>
            </w:pPr>
            <w:r w:rsidRPr="00BE005D">
              <w:rPr>
                <w:rFonts w:ascii="Arial" w:hAnsi="Arial" w:cs="Arial"/>
                <w:bCs/>
                <w:color w:val="000000"/>
                <w:sz w:val="14"/>
                <w:szCs w:val="14"/>
                <w:lang w:val="en-US"/>
              </w:rPr>
              <w:t>With P</w:t>
            </w:r>
          </w:p>
        </w:tc>
        <w:tc>
          <w:tcPr>
            <w:tcW w:w="781" w:type="dxa"/>
            <w:tcBorders>
              <w:top w:val="nil"/>
              <w:bottom w:val="single" w:sz="4" w:space="0" w:color="auto"/>
            </w:tcBorders>
            <w:shd w:val="clear" w:color="auto" w:fill="auto"/>
            <w:noWrap/>
            <w:vAlign w:val="center"/>
            <w:hideMark/>
          </w:tcPr>
          <w:p w14:paraId="41FB0BFF" w14:textId="77777777" w:rsidR="004E66E1" w:rsidRPr="00BE005D" w:rsidRDefault="004E66E1" w:rsidP="004E66E1">
            <w:pPr>
              <w:jc w:val="center"/>
              <w:rPr>
                <w:rFonts w:ascii="Arial" w:hAnsi="Arial" w:cs="Arial"/>
                <w:bCs/>
                <w:color w:val="000000"/>
                <w:sz w:val="14"/>
                <w:szCs w:val="14"/>
                <w:lang w:val="en-US"/>
              </w:rPr>
            </w:pPr>
            <w:r w:rsidRPr="00BE005D">
              <w:rPr>
                <w:rFonts w:ascii="Arial" w:hAnsi="Arial" w:cs="Arial"/>
                <w:bCs/>
                <w:color w:val="000000"/>
                <w:sz w:val="14"/>
                <w:szCs w:val="14"/>
                <w:lang w:val="en-US"/>
              </w:rPr>
              <w:t>Without P</w:t>
            </w:r>
          </w:p>
        </w:tc>
        <w:tc>
          <w:tcPr>
            <w:tcW w:w="764" w:type="dxa"/>
            <w:tcBorders>
              <w:top w:val="nil"/>
              <w:bottom w:val="single" w:sz="4" w:space="0" w:color="auto"/>
            </w:tcBorders>
            <w:shd w:val="clear" w:color="auto" w:fill="auto"/>
            <w:noWrap/>
            <w:vAlign w:val="center"/>
            <w:hideMark/>
          </w:tcPr>
          <w:p w14:paraId="570812EC" w14:textId="77777777" w:rsidR="004E66E1" w:rsidRPr="00BE005D" w:rsidRDefault="004E66E1" w:rsidP="004E66E1">
            <w:pPr>
              <w:jc w:val="center"/>
              <w:rPr>
                <w:rFonts w:ascii="Arial" w:hAnsi="Arial" w:cs="Arial"/>
                <w:bCs/>
                <w:color w:val="000000"/>
                <w:sz w:val="14"/>
                <w:szCs w:val="14"/>
                <w:lang w:val="en-US"/>
              </w:rPr>
            </w:pPr>
            <w:r w:rsidRPr="00BE005D">
              <w:rPr>
                <w:rFonts w:ascii="Arial" w:hAnsi="Arial" w:cs="Arial"/>
                <w:bCs/>
                <w:color w:val="000000"/>
                <w:sz w:val="14"/>
                <w:szCs w:val="14"/>
                <w:lang w:val="en-US"/>
              </w:rPr>
              <w:t>With P</w:t>
            </w:r>
          </w:p>
        </w:tc>
        <w:tc>
          <w:tcPr>
            <w:tcW w:w="768" w:type="dxa"/>
            <w:tcBorders>
              <w:top w:val="nil"/>
              <w:bottom w:val="single" w:sz="4" w:space="0" w:color="auto"/>
            </w:tcBorders>
            <w:shd w:val="clear" w:color="auto" w:fill="auto"/>
            <w:noWrap/>
            <w:vAlign w:val="center"/>
            <w:hideMark/>
          </w:tcPr>
          <w:p w14:paraId="6BCAC70A" w14:textId="77777777" w:rsidR="004E66E1" w:rsidRPr="00BE005D" w:rsidRDefault="004E66E1" w:rsidP="004E66E1">
            <w:pPr>
              <w:jc w:val="center"/>
              <w:rPr>
                <w:rFonts w:ascii="Arial" w:hAnsi="Arial" w:cs="Arial"/>
                <w:bCs/>
                <w:color w:val="000000"/>
                <w:sz w:val="14"/>
                <w:szCs w:val="14"/>
                <w:lang w:val="en-US"/>
              </w:rPr>
            </w:pPr>
            <w:r w:rsidRPr="00BE005D">
              <w:rPr>
                <w:rFonts w:ascii="Arial" w:hAnsi="Arial" w:cs="Arial"/>
                <w:bCs/>
                <w:color w:val="000000"/>
                <w:sz w:val="14"/>
                <w:szCs w:val="14"/>
                <w:lang w:val="en-US"/>
              </w:rPr>
              <w:t>Without P</w:t>
            </w:r>
          </w:p>
        </w:tc>
        <w:tc>
          <w:tcPr>
            <w:tcW w:w="768" w:type="dxa"/>
            <w:tcBorders>
              <w:top w:val="nil"/>
              <w:bottom w:val="single" w:sz="4" w:space="0" w:color="auto"/>
            </w:tcBorders>
            <w:shd w:val="clear" w:color="auto" w:fill="auto"/>
            <w:noWrap/>
            <w:vAlign w:val="center"/>
            <w:hideMark/>
          </w:tcPr>
          <w:p w14:paraId="5D42CCA2" w14:textId="77777777" w:rsidR="004E66E1" w:rsidRPr="00BE005D" w:rsidRDefault="004E66E1" w:rsidP="004E66E1">
            <w:pPr>
              <w:jc w:val="center"/>
              <w:rPr>
                <w:rFonts w:ascii="Arial" w:hAnsi="Arial" w:cs="Arial"/>
                <w:bCs/>
                <w:color w:val="000000"/>
                <w:sz w:val="14"/>
                <w:szCs w:val="14"/>
                <w:lang w:val="en-US"/>
              </w:rPr>
            </w:pPr>
            <w:r w:rsidRPr="00BE005D">
              <w:rPr>
                <w:rFonts w:ascii="Arial" w:hAnsi="Arial" w:cs="Arial"/>
                <w:bCs/>
                <w:color w:val="000000"/>
                <w:sz w:val="14"/>
                <w:szCs w:val="14"/>
                <w:lang w:val="en-US"/>
              </w:rPr>
              <w:t>With P*</w:t>
            </w:r>
          </w:p>
        </w:tc>
      </w:tr>
      <w:tr w:rsidR="004E66E1" w:rsidRPr="00BE005D" w14:paraId="6B4A7EC5" w14:textId="77777777" w:rsidTr="00CD616B">
        <w:trPr>
          <w:trHeight w:val="300"/>
        </w:trPr>
        <w:tc>
          <w:tcPr>
            <w:tcW w:w="2142" w:type="dxa"/>
            <w:tcBorders>
              <w:top w:val="single" w:sz="4" w:space="0" w:color="auto"/>
            </w:tcBorders>
            <w:shd w:val="clear" w:color="auto" w:fill="auto"/>
            <w:noWrap/>
            <w:vAlign w:val="center"/>
            <w:hideMark/>
          </w:tcPr>
          <w:p w14:paraId="394C9A25" w14:textId="77777777" w:rsidR="004E66E1" w:rsidRPr="00BE005D" w:rsidRDefault="004E66E1" w:rsidP="004E66E1">
            <w:pPr>
              <w:jc w:val="center"/>
              <w:rPr>
                <w:rFonts w:ascii="Arial" w:hAnsi="Arial" w:cs="Arial"/>
                <w:bCs/>
                <w:color w:val="000000"/>
                <w:sz w:val="16"/>
                <w:szCs w:val="18"/>
              </w:rPr>
            </w:pPr>
            <w:r w:rsidRPr="00BE005D">
              <w:rPr>
                <w:rFonts w:ascii="Arial" w:hAnsi="Arial" w:cs="Arial"/>
                <w:bCs/>
                <w:color w:val="000000"/>
                <w:sz w:val="16"/>
                <w:szCs w:val="18"/>
              </w:rPr>
              <w:t xml:space="preserve">Emergence of cotyledons (days) </w:t>
            </w:r>
          </w:p>
        </w:tc>
        <w:tc>
          <w:tcPr>
            <w:tcW w:w="771" w:type="dxa"/>
            <w:tcBorders>
              <w:top w:val="single" w:sz="4" w:space="0" w:color="auto"/>
            </w:tcBorders>
            <w:shd w:val="clear" w:color="auto" w:fill="auto"/>
            <w:vAlign w:val="center"/>
            <w:hideMark/>
          </w:tcPr>
          <w:p w14:paraId="4AC25089" w14:textId="371F5857"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12</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06c</w:t>
            </w:r>
          </w:p>
        </w:tc>
        <w:tc>
          <w:tcPr>
            <w:tcW w:w="1018" w:type="dxa"/>
            <w:tcBorders>
              <w:top w:val="single" w:sz="4" w:space="0" w:color="auto"/>
            </w:tcBorders>
            <w:shd w:val="clear" w:color="auto" w:fill="auto"/>
            <w:vAlign w:val="center"/>
            <w:hideMark/>
          </w:tcPr>
          <w:p w14:paraId="1B988278" w14:textId="31B93F93"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12</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22bc</w:t>
            </w:r>
          </w:p>
        </w:tc>
        <w:tc>
          <w:tcPr>
            <w:tcW w:w="815" w:type="dxa"/>
            <w:tcBorders>
              <w:top w:val="single" w:sz="4" w:space="0" w:color="auto"/>
            </w:tcBorders>
            <w:shd w:val="clear" w:color="auto" w:fill="auto"/>
            <w:vAlign w:val="center"/>
            <w:hideMark/>
          </w:tcPr>
          <w:p w14:paraId="44D2023F" w14:textId="484A2BF0"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13</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64b</w:t>
            </w:r>
          </w:p>
        </w:tc>
        <w:tc>
          <w:tcPr>
            <w:tcW w:w="1063" w:type="dxa"/>
            <w:tcBorders>
              <w:top w:val="single" w:sz="4" w:space="0" w:color="auto"/>
            </w:tcBorders>
            <w:shd w:val="clear" w:color="auto" w:fill="auto"/>
            <w:vAlign w:val="center"/>
            <w:hideMark/>
          </w:tcPr>
          <w:p w14:paraId="47ACFDC2" w14:textId="04CDF1F1"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12</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31bc</w:t>
            </w:r>
          </w:p>
        </w:tc>
        <w:tc>
          <w:tcPr>
            <w:tcW w:w="781" w:type="dxa"/>
            <w:tcBorders>
              <w:top w:val="single" w:sz="4" w:space="0" w:color="auto"/>
            </w:tcBorders>
            <w:shd w:val="clear" w:color="auto" w:fill="auto"/>
            <w:vAlign w:val="center"/>
            <w:hideMark/>
          </w:tcPr>
          <w:p w14:paraId="528FD145" w14:textId="40225CF6"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13</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78b</w:t>
            </w:r>
          </w:p>
        </w:tc>
        <w:tc>
          <w:tcPr>
            <w:tcW w:w="764" w:type="dxa"/>
            <w:tcBorders>
              <w:top w:val="single" w:sz="4" w:space="0" w:color="auto"/>
            </w:tcBorders>
            <w:shd w:val="clear" w:color="auto" w:fill="auto"/>
            <w:vAlign w:val="center"/>
            <w:hideMark/>
          </w:tcPr>
          <w:p w14:paraId="725C1D14" w14:textId="2EDAE8E0"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13</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25bc</w:t>
            </w:r>
          </w:p>
        </w:tc>
        <w:tc>
          <w:tcPr>
            <w:tcW w:w="768" w:type="dxa"/>
            <w:tcBorders>
              <w:top w:val="single" w:sz="4" w:space="0" w:color="auto"/>
            </w:tcBorders>
            <w:shd w:val="clear" w:color="auto" w:fill="auto"/>
            <w:vAlign w:val="center"/>
            <w:hideMark/>
          </w:tcPr>
          <w:p w14:paraId="52D48060" w14:textId="3A449C7A"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17</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47a</w:t>
            </w:r>
          </w:p>
        </w:tc>
        <w:tc>
          <w:tcPr>
            <w:tcW w:w="768" w:type="dxa"/>
            <w:tcBorders>
              <w:top w:val="single" w:sz="4" w:space="0" w:color="auto"/>
            </w:tcBorders>
            <w:shd w:val="clear" w:color="auto" w:fill="auto"/>
            <w:vAlign w:val="center"/>
            <w:hideMark/>
          </w:tcPr>
          <w:p w14:paraId="3D4DC34F" w14:textId="27BDFD5C"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12</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47bc</w:t>
            </w:r>
          </w:p>
        </w:tc>
      </w:tr>
      <w:tr w:rsidR="004E66E1" w:rsidRPr="00BE005D" w14:paraId="44126004" w14:textId="77777777" w:rsidTr="00CD616B">
        <w:trPr>
          <w:trHeight w:val="300"/>
        </w:trPr>
        <w:tc>
          <w:tcPr>
            <w:tcW w:w="2142" w:type="dxa"/>
            <w:tcBorders>
              <w:top w:val="nil"/>
            </w:tcBorders>
            <w:shd w:val="clear" w:color="auto" w:fill="auto"/>
            <w:noWrap/>
            <w:vAlign w:val="center"/>
            <w:hideMark/>
          </w:tcPr>
          <w:p w14:paraId="23EE39F0" w14:textId="77777777" w:rsidR="004E66E1" w:rsidRPr="00BE005D" w:rsidRDefault="004E66E1" w:rsidP="004E66E1">
            <w:pPr>
              <w:jc w:val="center"/>
              <w:rPr>
                <w:rFonts w:ascii="Arial" w:hAnsi="Arial" w:cs="Arial"/>
                <w:bCs/>
                <w:color w:val="000000"/>
                <w:sz w:val="16"/>
                <w:szCs w:val="18"/>
              </w:rPr>
            </w:pPr>
            <w:r w:rsidRPr="00BE005D">
              <w:rPr>
                <w:rFonts w:ascii="Arial" w:hAnsi="Arial" w:cs="Arial"/>
                <w:bCs/>
                <w:color w:val="000000"/>
                <w:sz w:val="16"/>
                <w:szCs w:val="18"/>
              </w:rPr>
              <w:t xml:space="preserve">First true leaf  </w:t>
            </w:r>
          </w:p>
          <w:p w14:paraId="05317519" w14:textId="77777777" w:rsidR="004E66E1" w:rsidRPr="00BE005D" w:rsidRDefault="004E66E1" w:rsidP="004E66E1">
            <w:pPr>
              <w:jc w:val="center"/>
              <w:rPr>
                <w:rFonts w:ascii="Arial" w:hAnsi="Arial" w:cs="Arial"/>
                <w:bCs/>
                <w:color w:val="000000"/>
                <w:sz w:val="16"/>
                <w:szCs w:val="18"/>
              </w:rPr>
            </w:pPr>
            <w:r w:rsidRPr="00BE005D">
              <w:rPr>
                <w:rFonts w:ascii="Arial" w:hAnsi="Arial" w:cs="Arial"/>
                <w:bCs/>
                <w:color w:val="000000"/>
                <w:sz w:val="16"/>
                <w:szCs w:val="18"/>
              </w:rPr>
              <w:t xml:space="preserve">(days) </w:t>
            </w:r>
          </w:p>
        </w:tc>
        <w:tc>
          <w:tcPr>
            <w:tcW w:w="771" w:type="dxa"/>
            <w:tcBorders>
              <w:top w:val="nil"/>
            </w:tcBorders>
            <w:shd w:val="clear" w:color="auto" w:fill="auto"/>
            <w:vAlign w:val="center"/>
            <w:hideMark/>
          </w:tcPr>
          <w:p w14:paraId="5565E971" w14:textId="5CD18CD9"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22</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75c</w:t>
            </w:r>
          </w:p>
        </w:tc>
        <w:tc>
          <w:tcPr>
            <w:tcW w:w="1018" w:type="dxa"/>
            <w:tcBorders>
              <w:top w:val="nil"/>
            </w:tcBorders>
            <w:shd w:val="clear" w:color="auto" w:fill="auto"/>
            <w:vAlign w:val="center"/>
            <w:hideMark/>
          </w:tcPr>
          <w:p w14:paraId="41B97815" w14:textId="6F65DB00"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22</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53c</w:t>
            </w:r>
          </w:p>
        </w:tc>
        <w:tc>
          <w:tcPr>
            <w:tcW w:w="815" w:type="dxa"/>
            <w:tcBorders>
              <w:top w:val="nil"/>
            </w:tcBorders>
            <w:shd w:val="clear" w:color="auto" w:fill="auto"/>
            <w:vAlign w:val="center"/>
            <w:hideMark/>
          </w:tcPr>
          <w:p w14:paraId="034083EA" w14:textId="5215A1DF"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23</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97bc</w:t>
            </w:r>
          </w:p>
        </w:tc>
        <w:tc>
          <w:tcPr>
            <w:tcW w:w="1063" w:type="dxa"/>
            <w:tcBorders>
              <w:top w:val="nil"/>
            </w:tcBorders>
            <w:shd w:val="clear" w:color="auto" w:fill="auto"/>
            <w:vAlign w:val="center"/>
            <w:hideMark/>
          </w:tcPr>
          <w:p w14:paraId="5D116A05" w14:textId="5BF032E2"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22</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47c</w:t>
            </w:r>
          </w:p>
        </w:tc>
        <w:tc>
          <w:tcPr>
            <w:tcW w:w="781" w:type="dxa"/>
            <w:tcBorders>
              <w:top w:val="nil"/>
            </w:tcBorders>
            <w:shd w:val="clear" w:color="auto" w:fill="auto"/>
            <w:vAlign w:val="center"/>
            <w:hideMark/>
          </w:tcPr>
          <w:p w14:paraId="001D1CA3" w14:textId="3846102C"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24</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92b</w:t>
            </w:r>
          </w:p>
        </w:tc>
        <w:tc>
          <w:tcPr>
            <w:tcW w:w="764" w:type="dxa"/>
            <w:tcBorders>
              <w:top w:val="nil"/>
            </w:tcBorders>
            <w:shd w:val="clear" w:color="auto" w:fill="auto"/>
            <w:vAlign w:val="center"/>
            <w:hideMark/>
          </w:tcPr>
          <w:p w14:paraId="77E04306" w14:textId="5C3BAAD3"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23</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08c</w:t>
            </w:r>
          </w:p>
        </w:tc>
        <w:tc>
          <w:tcPr>
            <w:tcW w:w="768" w:type="dxa"/>
            <w:tcBorders>
              <w:top w:val="nil"/>
            </w:tcBorders>
            <w:shd w:val="clear" w:color="auto" w:fill="auto"/>
            <w:vAlign w:val="center"/>
            <w:hideMark/>
          </w:tcPr>
          <w:p w14:paraId="717824A8" w14:textId="5FFA26BF"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29</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42a</w:t>
            </w:r>
          </w:p>
        </w:tc>
        <w:tc>
          <w:tcPr>
            <w:tcW w:w="768" w:type="dxa"/>
            <w:tcBorders>
              <w:top w:val="nil"/>
            </w:tcBorders>
            <w:shd w:val="clear" w:color="auto" w:fill="auto"/>
            <w:vAlign w:val="center"/>
            <w:hideMark/>
          </w:tcPr>
          <w:p w14:paraId="2923236A" w14:textId="1E644C22"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22</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72c</w:t>
            </w:r>
          </w:p>
        </w:tc>
      </w:tr>
      <w:tr w:rsidR="004E66E1" w:rsidRPr="00BE005D" w14:paraId="1F697EB4" w14:textId="77777777" w:rsidTr="00CD616B">
        <w:trPr>
          <w:trHeight w:val="300"/>
        </w:trPr>
        <w:tc>
          <w:tcPr>
            <w:tcW w:w="2142" w:type="dxa"/>
            <w:tcBorders>
              <w:top w:val="nil"/>
            </w:tcBorders>
            <w:shd w:val="clear" w:color="auto" w:fill="auto"/>
            <w:noWrap/>
            <w:vAlign w:val="center"/>
            <w:hideMark/>
          </w:tcPr>
          <w:p w14:paraId="0FFA5060" w14:textId="77777777" w:rsidR="004E66E1" w:rsidRPr="00BE005D" w:rsidRDefault="004E66E1" w:rsidP="004E66E1">
            <w:pPr>
              <w:jc w:val="center"/>
              <w:rPr>
                <w:rFonts w:ascii="Arial" w:hAnsi="Arial" w:cs="Arial"/>
                <w:bCs/>
                <w:color w:val="000000"/>
                <w:sz w:val="16"/>
                <w:szCs w:val="18"/>
              </w:rPr>
            </w:pPr>
            <w:r w:rsidRPr="00BE005D">
              <w:rPr>
                <w:rFonts w:ascii="Arial" w:hAnsi="Arial" w:cs="Arial"/>
                <w:bCs/>
                <w:color w:val="000000"/>
                <w:sz w:val="16"/>
                <w:szCs w:val="18"/>
              </w:rPr>
              <w:t xml:space="preserve">Second true leaf </w:t>
            </w:r>
          </w:p>
          <w:p w14:paraId="10EA1AF7" w14:textId="77777777" w:rsidR="004E66E1" w:rsidRPr="00BE005D" w:rsidRDefault="004E66E1" w:rsidP="004E66E1">
            <w:pPr>
              <w:jc w:val="center"/>
              <w:rPr>
                <w:rFonts w:ascii="Arial" w:hAnsi="Arial" w:cs="Arial"/>
                <w:bCs/>
                <w:color w:val="000000"/>
                <w:sz w:val="16"/>
                <w:szCs w:val="18"/>
              </w:rPr>
            </w:pPr>
            <w:r w:rsidRPr="00BE005D">
              <w:rPr>
                <w:rFonts w:ascii="Arial" w:hAnsi="Arial" w:cs="Arial"/>
                <w:bCs/>
                <w:color w:val="000000"/>
                <w:sz w:val="16"/>
                <w:szCs w:val="18"/>
              </w:rPr>
              <w:t>(days)</w:t>
            </w:r>
          </w:p>
        </w:tc>
        <w:tc>
          <w:tcPr>
            <w:tcW w:w="771" w:type="dxa"/>
            <w:tcBorders>
              <w:top w:val="nil"/>
            </w:tcBorders>
            <w:shd w:val="clear" w:color="auto" w:fill="auto"/>
            <w:vAlign w:val="center"/>
            <w:hideMark/>
          </w:tcPr>
          <w:p w14:paraId="00193007" w14:textId="3EDD7124"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23</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58c</w:t>
            </w:r>
          </w:p>
        </w:tc>
        <w:tc>
          <w:tcPr>
            <w:tcW w:w="1018" w:type="dxa"/>
            <w:tcBorders>
              <w:top w:val="nil"/>
            </w:tcBorders>
            <w:shd w:val="clear" w:color="auto" w:fill="auto"/>
            <w:vAlign w:val="center"/>
            <w:hideMark/>
          </w:tcPr>
          <w:p w14:paraId="61543C28" w14:textId="68D7CDD8"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23</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78c</w:t>
            </w:r>
          </w:p>
        </w:tc>
        <w:tc>
          <w:tcPr>
            <w:tcW w:w="815" w:type="dxa"/>
            <w:tcBorders>
              <w:top w:val="nil"/>
            </w:tcBorders>
            <w:shd w:val="clear" w:color="auto" w:fill="auto"/>
            <w:vAlign w:val="center"/>
            <w:hideMark/>
          </w:tcPr>
          <w:p w14:paraId="7794AC89" w14:textId="64BE44EA"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25</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39c</w:t>
            </w:r>
          </w:p>
        </w:tc>
        <w:tc>
          <w:tcPr>
            <w:tcW w:w="1063" w:type="dxa"/>
            <w:tcBorders>
              <w:top w:val="nil"/>
            </w:tcBorders>
            <w:shd w:val="clear" w:color="auto" w:fill="auto"/>
            <w:vAlign w:val="center"/>
            <w:hideMark/>
          </w:tcPr>
          <w:p w14:paraId="1DAC01BA" w14:textId="403E84E8"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23</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47c</w:t>
            </w:r>
          </w:p>
        </w:tc>
        <w:tc>
          <w:tcPr>
            <w:tcW w:w="781" w:type="dxa"/>
            <w:tcBorders>
              <w:top w:val="nil"/>
            </w:tcBorders>
            <w:shd w:val="clear" w:color="auto" w:fill="auto"/>
            <w:vAlign w:val="center"/>
            <w:hideMark/>
          </w:tcPr>
          <w:p w14:paraId="6ACAFD15" w14:textId="29C17C3A"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27</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36b</w:t>
            </w:r>
          </w:p>
        </w:tc>
        <w:tc>
          <w:tcPr>
            <w:tcW w:w="764" w:type="dxa"/>
            <w:tcBorders>
              <w:top w:val="nil"/>
            </w:tcBorders>
            <w:shd w:val="clear" w:color="auto" w:fill="auto"/>
            <w:vAlign w:val="center"/>
            <w:hideMark/>
          </w:tcPr>
          <w:p w14:paraId="085BF788" w14:textId="65BBD40A"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24</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33c</w:t>
            </w:r>
          </w:p>
        </w:tc>
        <w:tc>
          <w:tcPr>
            <w:tcW w:w="768" w:type="dxa"/>
            <w:tcBorders>
              <w:top w:val="nil"/>
            </w:tcBorders>
            <w:shd w:val="clear" w:color="auto" w:fill="auto"/>
            <w:vAlign w:val="center"/>
            <w:hideMark/>
          </w:tcPr>
          <w:p w14:paraId="4B33DB45" w14:textId="05784366"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31</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19a</w:t>
            </w:r>
          </w:p>
        </w:tc>
        <w:tc>
          <w:tcPr>
            <w:tcW w:w="768" w:type="dxa"/>
            <w:tcBorders>
              <w:top w:val="nil"/>
            </w:tcBorders>
            <w:shd w:val="clear" w:color="auto" w:fill="auto"/>
            <w:vAlign w:val="center"/>
            <w:hideMark/>
          </w:tcPr>
          <w:p w14:paraId="1F6FCF1E" w14:textId="333C0F32"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23</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69c</w:t>
            </w:r>
          </w:p>
        </w:tc>
      </w:tr>
      <w:tr w:rsidR="004E66E1" w:rsidRPr="00BE005D" w14:paraId="354FD14F" w14:textId="77777777" w:rsidTr="00CD616B">
        <w:trPr>
          <w:trHeight w:val="300"/>
        </w:trPr>
        <w:tc>
          <w:tcPr>
            <w:tcW w:w="2142" w:type="dxa"/>
            <w:tcBorders>
              <w:top w:val="nil"/>
            </w:tcBorders>
            <w:shd w:val="clear" w:color="auto" w:fill="auto"/>
            <w:noWrap/>
            <w:vAlign w:val="center"/>
            <w:hideMark/>
          </w:tcPr>
          <w:p w14:paraId="2D2E79D6" w14:textId="77777777" w:rsidR="004E66E1" w:rsidRPr="00BE005D" w:rsidRDefault="004E66E1" w:rsidP="004E66E1">
            <w:pPr>
              <w:jc w:val="center"/>
              <w:rPr>
                <w:rFonts w:ascii="Arial" w:hAnsi="Arial" w:cs="Arial"/>
                <w:bCs/>
                <w:color w:val="000000"/>
                <w:sz w:val="16"/>
                <w:szCs w:val="18"/>
              </w:rPr>
            </w:pPr>
            <w:r w:rsidRPr="00BE005D">
              <w:rPr>
                <w:rFonts w:ascii="Arial" w:hAnsi="Arial" w:cs="Arial"/>
                <w:bCs/>
                <w:color w:val="000000"/>
                <w:sz w:val="16"/>
                <w:szCs w:val="18"/>
              </w:rPr>
              <w:t xml:space="preserve">Third true leaf </w:t>
            </w:r>
          </w:p>
          <w:p w14:paraId="6B04D44A" w14:textId="77777777" w:rsidR="004E66E1" w:rsidRPr="00BE005D" w:rsidRDefault="004E66E1" w:rsidP="004E66E1">
            <w:pPr>
              <w:jc w:val="center"/>
              <w:rPr>
                <w:rFonts w:ascii="Arial" w:hAnsi="Arial" w:cs="Arial"/>
                <w:bCs/>
                <w:color w:val="000000"/>
                <w:sz w:val="16"/>
                <w:szCs w:val="18"/>
              </w:rPr>
            </w:pPr>
            <w:r w:rsidRPr="00BE005D">
              <w:rPr>
                <w:rFonts w:ascii="Arial" w:hAnsi="Arial" w:cs="Arial"/>
                <w:bCs/>
                <w:color w:val="000000"/>
                <w:sz w:val="16"/>
                <w:szCs w:val="18"/>
              </w:rPr>
              <w:t xml:space="preserve">(days) </w:t>
            </w:r>
          </w:p>
        </w:tc>
        <w:tc>
          <w:tcPr>
            <w:tcW w:w="771" w:type="dxa"/>
            <w:tcBorders>
              <w:top w:val="nil"/>
            </w:tcBorders>
            <w:shd w:val="clear" w:color="auto" w:fill="auto"/>
            <w:vAlign w:val="center"/>
            <w:hideMark/>
          </w:tcPr>
          <w:p w14:paraId="33511B03" w14:textId="4C18D602"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32</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26c</w:t>
            </w:r>
          </w:p>
        </w:tc>
        <w:tc>
          <w:tcPr>
            <w:tcW w:w="1018" w:type="dxa"/>
            <w:tcBorders>
              <w:top w:val="nil"/>
            </w:tcBorders>
            <w:shd w:val="clear" w:color="auto" w:fill="auto"/>
            <w:vAlign w:val="center"/>
            <w:hideMark/>
          </w:tcPr>
          <w:p w14:paraId="49860CF1" w14:textId="49CF7C27"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31</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89cd</w:t>
            </w:r>
          </w:p>
        </w:tc>
        <w:tc>
          <w:tcPr>
            <w:tcW w:w="815" w:type="dxa"/>
            <w:tcBorders>
              <w:top w:val="nil"/>
            </w:tcBorders>
            <w:shd w:val="clear" w:color="auto" w:fill="auto"/>
            <w:vAlign w:val="center"/>
            <w:hideMark/>
          </w:tcPr>
          <w:p w14:paraId="36AB6500" w14:textId="694715B4"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34</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16b</w:t>
            </w:r>
          </w:p>
        </w:tc>
        <w:tc>
          <w:tcPr>
            <w:tcW w:w="1063" w:type="dxa"/>
            <w:tcBorders>
              <w:top w:val="nil"/>
            </w:tcBorders>
            <w:shd w:val="clear" w:color="auto" w:fill="auto"/>
            <w:vAlign w:val="center"/>
            <w:hideMark/>
          </w:tcPr>
          <w:p w14:paraId="684E769B" w14:textId="23442AF3"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31</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64cd</w:t>
            </w:r>
          </w:p>
        </w:tc>
        <w:tc>
          <w:tcPr>
            <w:tcW w:w="781" w:type="dxa"/>
            <w:tcBorders>
              <w:top w:val="nil"/>
            </w:tcBorders>
            <w:shd w:val="clear" w:color="auto" w:fill="auto"/>
            <w:vAlign w:val="center"/>
            <w:hideMark/>
          </w:tcPr>
          <w:p w14:paraId="25290EB2" w14:textId="4571AE4E"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34</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52b</w:t>
            </w:r>
          </w:p>
        </w:tc>
        <w:tc>
          <w:tcPr>
            <w:tcW w:w="764" w:type="dxa"/>
            <w:tcBorders>
              <w:top w:val="nil"/>
            </w:tcBorders>
            <w:shd w:val="clear" w:color="auto" w:fill="auto"/>
            <w:vAlign w:val="center"/>
            <w:hideMark/>
          </w:tcPr>
          <w:p w14:paraId="33259C34" w14:textId="4E037D84"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31</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53cd</w:t>
            </w:r>
          </w:p>
        </w:tc>
        <w:tc>
          <w:tcPr>
            <w:tcW w:w="768" w:type="dxa"/>
            <w:tcBorders>
              <w:top w:val="nil"/>
            </w:tcBorders>
            <w:shd w:val="clear" w:color="auto" w:fill="auto"/>
            <w:vAlign w:val="center"/>
            <w:hideMark/>
          </w:tcPr>
          <w:p w14:paraId="44E6530D" w14:textId="2FDBFFF5"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35</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81a</w:t>
            </w:r>
          </w:p>
        </w:tc>
        <w:tc>
          <w:tcPr>
            <w:tcW w:w="768" w:type="dxa"/>
            <w:tcBorders>
              <w:top w:val="nil"/>
            </w:tcBorders>
            <w:shd w:val="clear" w:color="auto" w:fill="auto"/>
            <w:vAlign w:val="center"/>
            <w:hideMark/>
          </w:tcPr>
          <w:p w14:paraId="530D0398" w14:textId="3696AFBD"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31</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31d</w:t>
            </w:r>
          </w:p>
        </w:tc>
      </w:tr>
      <w:tr w:rsidR="004E66E1" w:rsidRPr="00BE005D" w14:paraId="0924D178" w14:textId="77777777" w:rsidTr="00CD616B">
        <w:trPr>
          <w:trHeight w:val="300"/>
        </w:trPr>
        <w:tc>
          <w:tcPr>
            <w:tcW w:w="2142" w:type="dxa"/>
            <w:tcBorders>
              <w:top w:val="nil"/>
            </w:tcBorders>
            <w:shd w:val="clear" w:color="auto" w:fill="auto"/>
            <w:noWrap/>
            <w:vAlign w:val="center"/>
            <w:hideMark/>
          </w:tcPr>
          <w:p w14:paraId="521D9D8A" w14:textId="77777777" w:rsidR="004E66E1" w:rsidRPr="00BE005D" w:rsidRDefault="004E66E1" w:rsidP="004E66E1">
            <w:pPr>
              <w:jc w:val="center"/>
              <w:rPr>
                <w:rFonts w:ascii="Arial" w:hAnsi="Arial" w:cs="Arial"/>
                <w:bCs/>
                <w:color w:val="000000"/>
                <w:sz w:val="16"/>
                <w:szCs w:val="18"/>
                <w:lang w:val="en-US"/>
              </w:rPr>
            </w:pPr>
            <w:r w:rsidRPr="00BE005D">
              <w:rPr>
                <w:rFonts w:ascii="Arial" w:hAnsi="Arial" w:cs="Arial"/>
                <w:bCs/>
                <w:color w:val="000000"/>
                <w:sz w:val="16"/>
                <w:szCs w:val="18"/>
                <w:lang w:val="en-US"/>
              </w:rPr>
              <w:t>Height to cotyledons day 20 (mm)</w:t>
            </w:r>
          </w:p>
        </w:tc>
        <w:tc>
          <w:tcPr>
            <w:tcW w:w="771" w:type="dxa"/>
            <w:tcBorders>
              <w:top w:val="nil"/>
            </w:tcBorders>
            <w:shd w:val="clear" w:color="auto" w:fill="auto"/>
            <w:vAlign w:val="center"/>
            <w:hideMark/>
          </w:tcPr>
          <w:p w14:paraId="553188CE" w14:textId="256F794B"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25</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42a</w:t>
            </w:r>
          </w:p>
        </w:tc>
        <w:tc>
          <w:tcPr>
            <w:tcW w:w="1018" w:type="dxa"/>
            <w:tcBorders>
              <w:top w:val="nil"/>
            </w:tcBorders>
            <w:shd w:val="clear" w:color="auto" w:fill="auto"/>
            <w:vAlign w:val="center"/>
            <w:hideMark/>
          </w:tcPr>
          <w:p w14:paraId="685A2039" w14:textId="5DF481AE"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25</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25a</w:t>
            </w:r>
          </w:p>
        </w:tc>
        <w:tc>
          <w:tcPr>
            <w:tcW w:w="815" w:type="dxa"/>
            <w:tcBorders>
              <w:top w:val="nil"/>
            </w:tcBorders>
            <w:shd w:val="clear" w:color="auto" w:fill="auto"/>
            <w:vAlign w:val="center"/>
            <w:hideMark/>
          </w:tcPr>
          <w:p w14:paraId="64931F4B" w14:textId="34969A69"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94b</w:t>
            </w:r>
          </w:p>
        </w:tc>
        <w:tc>
          <w:tcPr>
            <w:tcW w:w="1063" w:type="dxa"/>
            <w:tcBorders>
              <w:top w:val="nil"/>
            </w:tcBorders>
            <w:shd w:val="clear" w:color="auto" w:fill="auto"/>
            <w:vAlign w:val="center"/>
            <w:hideMark/>
          </w:tcPr>
          <w:p w14:paraId="7B24725C" w14:textId="240390AE"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25</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14a</w:t>
            </w:r>
          </w:p>
        </w:tc>
        <w:tc>
          <w:tcPr>
            <w:tcW w:w="781" w:type="dxa"/>
            <w:tcBorders>
              <w:top w:val="nil"/>
            </w:tcBorders>
            <w:shd w:val="clear" w:color="auto" w:fill="auto"/>
            <w:vAlign w:val="center"/>
            <w:hideMark/>
          </w:tcPr>
          <w:p w14:paraId="404425C3" w14:textId="5E2E44A3"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22</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31ab</w:t>
            </w:r>
          </w:p>
        </w:tc>
        <w:tc>
          <w:tcPr>
            <w:tcW w:w="764" w:type="dxa"/>
            <w:tcBorders>
              <w:top w:val="nil"/>
            </w:tcBorders>
            <w:shd w:val="clear" w:color="auto" w:fill="auto"/>
            <w:vAlign w:val="center"/>
            <w:hideMark/>
          </w:tcPr>
          <w:p w14:paraId="11698AE0" w14:textId="683939A7"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23</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81ab</w:t>
            </w:r>
          </w:p>
        </w:tc>
        <w:tc>
          <w:tcPr>
            <w:tcW w:w="768" w:type="dxa"/>
            <w:tcBorders>
              <w:top w:val="nil"/>
            </w:tcBorders>
            <w:shd w:val="clear" w:color="auto" w:fill="auto"/>
            <w:vAlign w:val="center"/>
            <w:hideMark/>
          </w:tcPr>
          <w:p w14:paraId="19016F78" w14:textId="13766638"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14</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78c</w:t>
            </w:r>
          </w:p>
        </w:tc>
        <w:tc>
          <w:tcPr>
            <w:tcW w:w="768" w:type="dxa"/>
            <w:tcBorders>
              <w:top w:val="nil"/>
            </w:tcBorders>
            <w:shd w:val="clear" w:color="auto" w:fill="auto"/>
            <w:vAlign w:val="center"/>
            <w:hideMark/>
          </w:tcPr>
          <w:p w14:paraId="671E1BFE" w14:textId="3F4823E4"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24</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78a</w:t>
            </w:r>
          </w:p>
        </w:tc>
      </w:tr>
      <w:tr w:rsidR="004E66E1" w:rsidRPr="00BE005D" w14:paraId="4F1B0790" w14:textId="77777777" w:rsidTr="00CD616B">
        <w:trPr>
          <w:trHeight w:val="300"/>
        </w:trPr>
        <w:tc>
          <w:tcPr>
            <w:tcW w:w="2142" w:type="dxa"/>
            <w:tcBorders>
              <w:top w:val="nil"/>
            </w:tcBorders>
            <w:shd w:val="clear" w:color="auto" w:fill="auto"/>
            <w:noWrap/>
            <w:vAlign w:val="center"/>
            <w:hideMark/>
          </w:tcPr>
          <w:p w14:paraId="6484952D" w14:textId="77777777" w:rsidR="004E66E1" w:rsidRPr="00BE005D" w:rsidRDefault="004E66E1" w:rsidP="004E66E1">
            <w:pPr>
              <w:jc w:val="center"/>
              <w:rPr>
                <w:rFonts w:ascii="Arial" w:hAnsi="Arial" w:cs="Arial"/>
                <w:bCs/>
                <w:color w:val="000000"/>
                <w:sz w:val="16"/>
                <w:szCs w:val="18"/>
                <w:lang w:val="en-US"/>
              </w:rPr>
            </w:pPr>
            <w:r w:rsidRPr="00BE005D">
              <w:rPr>
                <w:rFonts w:ascii="Arial" w:hAnsi="Arial" w:cs="Arial"/>
                <w:bCs/>
                <w:color w:val="000000"/>
                <w:sz w:val="16"/>
                <w:szCs w:val="18"/>
                <w:lang w:val="en-US"/>
              </w:rPr>
              <w:t>Height to cotyledons day 22 (mm)</w:t>
            </w:r>
          </w:p>
        </w:tc>
        <w:tc>
          <w:tcPr>
            <w:tcW w:w="771" w:type="dxa"/>
            <w:tcBorders>
              <w:top w:val="nil"/>
            </w:tcBorders>
            <w:shd w:val="clear" w:color="auto" w:fill="auto"/>
            <w:vAlign w:val="center"/>
            <w:hideMark/>
          </w:tcPr>
          <w:p w14:paraId="4D5BBC1C" w14:textId="7B7A97AA"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29</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97a</w:t>
            </w:r>
          </w:p>
        </w:tc>
        <w:tc>
          <w:tcPr>
            <w:tcW w:w="1018" w:type="dxa"/>
            <w:tcBorders>
              <w:top w:val="nil"/>
            </w:tcBorders>
            <w:shd w:val="clear" w:color="auto" w:fill="auto"/>
            <w:vAlign w:val="center"/>
            <w:hideMark/>
          </w:tcPr>
          <w:p w14:paraId="534C5311" w14:textId="4ACD15E6"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28</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19ab</w:t>
            </w:r>
          </w:p>
        </w:tc>
        <w:tc>
          <w:tcPr>
            <w:tcW w:w="815" w:type="dxa"/>
            <w:tcBorders>
              <w:top w:val="nil"/>
            </w:tcBorders>
            <w:shd w:val="clear" w:color="auto" w:fill="auto"/>
            <w:vAlign w:val="center"/>
            <w:hideMark/>
          </w:tcPr>
          <w:p w14:paraId="321B854C" w14:textId="11F1683D"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26</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53b</w:t>
            </w:r>
          </w:p>
        </w:tc>
        <w:tc>
          <w:tcPr>
            <w:tcW w:w="1063" w:type="dxa"/>
            <w:tcBorders>
              <w:top w:val="nil"/>
            </w:tcBorders>
            <w:shd w:val="clear" w:color="auto" w:fill="auto"/>
            <w:vAlign w:val="center"/>
            <w:hideMark/>
          </w:tcPr>
          <w:p w14:paraId="64D59172" w14:textId="11E56DCD"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27</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69ab</w:t>
            </w:r>
          </w:p>
        </w:tc>
        <w:tc>
          <w:tcPr>
            <w:tcW w:w="781" w:type="dxa"/>
            <w:tcBorders>
              <w:top w:val="nil"/>
            </w:tcBorders>
            <w:shd w:val="clear" w:color="auto" w:fill="auto"/>
            <w:vAlign w:val="center"/>
            <w:hideMark/>
          </w:tcPr>
          <w:p w14:paraId="70399E46" w14:textId="59BEB652"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25</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78b</w:t>
            </w:r>
          </w:p>
        </w:tc>
        <w:tc>
          <w:tcPr>
            <w:tcW w:w="764" w:type="dxa"/>
            <w:tcBorders>
              <w:top w:val="nil"/>
            </w:tcBorders>
            <w:shd w:val="clear" w:color="auto" w:fill="auto"/>
            <w:vAlign w:val="center"/>
            <w:hideMark/>
          </w:tcPr>
          <w:p w14:paraId="6D79D7CA" w14:textId="35BD4484"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27</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31ab</w:t>
            </w:r>
          </w:p>
        </w:tc>
        <w:tc>
          <w:tcPr>
            <w:tcW w:w="768" w:type="dxa"/>
            <w:tcBorders>
              <w:top w:val="nil"/>
            </w:tcBorders>
            <w:shd w:val="clear" w:color="auto" w:fill="auto"/>
            <w:vAlign w:val="center"/>
            <w:hideMark/>
          </w:tcPr>
          <w:p w14:paraId="76586407" w14:textId="5F07F503"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19</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36c</w:t>
            </w:r>
          </w:p>
        </w:tc>
        <w:tc>
          <w:tcPr>
            <w:tcW w:w="768" w:type="dxa"/>
            <w:tcBorders>
              <w:top w:val="nil"/>
            </w:tcBorders>
            <w:shd w:val="clear" w:color="auto" w:fill="auto"/>
            <w:vAlign w:val="center"/>
            <w:hideMark/>
          </w:tcPr>
          <w:p w14:paraId="3802664A" w14:textId="0541B5CE"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27</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97ab</w:t>
            </w:r>
          </w:p>
        </w:tc>
      </w:tr>
      <w:tr w:rsidR="004E66E1" w:rsidRPr="00BE005D" w14:paraId="7D026670" w14:textId="77777777" w:rsidTr="00CD616B">
        <w:trPr>
          <w:trHeight w:val="300"/>
        </w:trPr>
        <w:tc>
          <w:tcPr>
            <w:tcW w:w="2142" w:type="dxa"/>
            <w:tcBorders>
              <w:top w:val="nil"/>
            </w:tcBorders>
            <w:shd w:val="clear" w:color="auto" w:fill="auto"/>
            <w:noWrap/>
            <w:vAlign w:val="center"/>
            <w:hideMark/>
          </w:tcPr>
          <w:p w14:paraId="5AFE019E" w14:textId="77777777" w:rsidR="004E66E1" w:rsidRPr="00BE005D" w:rsidRDefault="004E66E1" w:rsidP="004E66E1">
            <w:pPr>
              <w:jc w:val="center"/>
              <w:rPr>
                <w:rFonts w:ascii="Arial" w:hAnsi="Arial" w:cs="Arial"/>
                <w:bCs/>
                <w:color w:val="000000"/>
                <w:sz w:val="16"/>
                <w:szCs w:val="18"/>
                <w:lang w:val="en-US"/>
              </w:rPr>
            </w:pPr>
            <w:r w:rsidRPr="00BE005D">
              <w:rPr>
                <w:rFonts w:ascii="Arial" w:hAnsi="Arial" w:cs="Arial"/>
                <w:bCs/>
                <w:color w:val="000000"/>
                <w:sz w:val="16"/>
                <w:szCs w:val="18"/>
                <w:lang w:val="en-US"/>
              </w:rPr>
              <w:t>Height to cotyledons day 24 (mm)</w:t>
            </w:r>
          </w:p>
        </w:tc>
        <w:tc>
          <w:tcPr>
            <w:tcW w:w="771" w:type="dxa"/>
            <w:tcBorders>
              <w:top w:val="nil"/>
            </w:tcBorders>
            <w:shd w:val="clear" w:color="auto" w:fill="auto"/>
            <w:vAlign w:val="center"/>
            <w:hideMark/>
          </w:tcPr>
          <w:p w14:paraId="5D90F039" w14:textId="4B58F910"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32</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17a</w:t>
            </w:r>
          </w:p>
        </w:tc>
        <w:tc>
          <w:tcPr>
            <w:tcW w:w="1018" w:type="dxa"/>
            <w:tcBorders>
              <w:top w:val="nil"/>
            </w:tcBorders>
            <w:shd w:val="clear" w:color="auto" w:fill="auto"/>
            <w:vAlign w:val="center"/>
            <w:hideMark/>
          </w:tcPr>
          <w:p w14:paraId="1C5CB524" w14:textId="4E26D1E4"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29</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72b</w:t>
            </w:r>
          </w:p>
        </w:tc>
        <w:tc>
          <w:tcPr>
            <w:tcW w:w="815" w:type="dxa"/>
            <w:tcBorders>
              <w:top w:val="nil"/>
            </w:tcBorders>
            <w:shd w:val="clear" w:color="auto" w:fill="auto"/>
            <w:vAlign w:val="center"/>
            <w:hideMark/>
          </w:tcPr>
          <w:p w14:paraId="2B9DF847" w14:textId="1C0B56F4"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28</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36b</w:t>
            </w:r>
          </w:p>
        </w:tc>
        <w:tc>
          <w:tcPr>
            <w:tcW w:w="1063" w:type="dxa"/>
            <w:tcBorders>
              <w:top w:val="nil"/>
            </w:tcBorders>
            <w:shd w:val="clear" w:color="auto" w:fill="auto"/>
            <w:vAlign w:val="center"/>
            <w:hideMark/>
          </w:tcPr>
          <w:p w14:paraId="664A793B" w14:textId="303D8FE1"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29</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22b</w:t>
            </w:r>
          </w:p>
        </w:tc>
        <w:tc>
          <w:tcPr>
            <w:tcW w:w="781" w:type="dxa"/>
            <w:tcBorders>
              <w:top w:val="nil"/>
            </w:tcBorders>
            <w:shd w:val="clear" w:color="auto" w:fill="auto"/>
            <w:vAlign w:val="center"/>
            <w:hideMark/>
          </w:tcPr>
          <w:p w14:paraId="5219CA8A" w14:textId="3EC3EA6F"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27</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50b</w:t>
            </w:r>
          </w:p>
        </w:tc>
        <w:tc>
          <w:tcPr>
            <w:tcW w:w="764" w:type="dxa"/>
            <w:tcBorders>
              <w:top w:val="nil"/>
            </w:tcBorders>
            <w:shd w:val="clear" w:color="auto" w:fill="auto"/>
            <w:vAlign w:val="center"/>
            <w:hideMark/>
          </w:tcPr>
          <w:p w14:paraId="427BDE82" w14:textId="7486B7C3"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29</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03b</w:t>
            </w:r>
          </w:p>
        </w:tc>
        <w:tc>
          <w:tcPr>
            <w:tcW w:w="768" w:type="dxa"/>
            <w:tcBorders>
              <w:top w:val="nil"/>
            </w:tcBorders>
            <w:shd w:val="clear" w:color="auto" w:fill="auto"/>
            <w:vAlign w:val="center"/>
            <w:hideMark/>
          </w:tcPr>
          <w:p w14:paraId="2513FAEB" w14:textId="30B27208"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22</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86c</w:t>
            </w:r>
          </w:p>
        </w:tc>
        <w:tc>
          <w:tcPr>
            <w:tcW w:w="768" w:type="dxa"/>
            <w:tcBorders>
              <w:top w:val="nil"/>
            </w:tcBorders>
            <w:shd w:val="clear" w:color="auto" w:fill="auto"/>
            <w:vAlign w:val="center"/>
            <w:hideMark/>
          </w:tcPr>
          <w:p w14:paraId="0A8DCD1C" w14:textId="1EFF1F2D"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29</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50b</w:t>
            </w:r>
          </w:p>
        </w:tc>
      </w:tr>
      <w:tr w:rsidR="004E66E1" w:rsidRPr="00BE005D" w14:paraId="5C99A328" w14:textId="77777777" w:rsidTr="00CD616B">
        <w:trPr>
          <w:trHeight w:val="300"/>
        </w:trPr>
        <w:tc>
          <w:tcPr>
            <w:tcW w:w="2142" w:type="dxa"/>
            <w:tcBorders>
              <w:top w:val="nil"/>
            </w:tcBorders>
            <w:shd w:val="clear" w:color="auto" w:fill="auto"/>
            <w:noWrap/>
            <w:vAlign w:val="center"/>
            <w:hideMark/>
          </w:tcPr>
          <w:p w14:paraId="6020CA86" w14:textId="77777777" w:rsidR="004E66E1" w:rsidRPr="00BE005D" w:rsidRDefault="004E66E1" w:rsidP="004E66E1">
            <w:pPr>
              <w:jc w:val="center"/>
              <w:rPr>
                <w:rFonts w:ascii="Arial" w:hAnsi="Arial" w:cs="Arial"/>
                <w:bCs/>
                <w:color w:val="000000"/>
                <w:sz w:val="16"/>
                <w:szCs w:val="18"/>
                <w:lang w:val="en-US"/>
              </w:rPr>
            </w:pPr>
            <w:r w:rsidRPr="00BE005D">
              <w:rPr>
                <w:rFonts w:ascii="Arial" w:hAnsi="Arial" w:cs="Arial"/>
                <w:bCs/>
                <w:color w:val="000000"/>
                <w:sz w:val="16"/>
                <w:szCs w:val="18"/>
                <w:lang w:val="en-US"/>
              </w:rPr>
              <w:t>Height to cotyledons day 38 (mm)</w:t>
            </w:r>
          </w:p>
        </w:tc>
        <w:tc>
          <w:tcPr>
            <w:tcW w:w="771" w:type="dxa"/>
            <w:tcBorders>
              <w:top w:val="nil"/>
            </w:tcBorders>
            <w:shd w:val="clear" w:color="auto" w:fill="auto"/>
            <w:vAlign w:val="center"/>
            <w:hideMark/>
          </w:tcPr>
          <w:p w14:paraId="65066FFD" w14:textId="535E14F8"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33</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88a</w:t>
            </w:r>
          </w:p>
        </w:tc>
        <w:tc>
          <w:tcPr>
            <w:tcW w:w="1018" w:type="dxa"/>
            <w:tcBorders>
              <w:top w:val="nil"/>
            </w:tcBorders>
            <w:shd w:val="clear" w:color="auto" w:fill="auto"/>
            <w:vAlign w:val="center"/>
            <w:hideMark/>
          </w:tcPr>
          <w:p w14:paraId="430319AC" w14:textId="6ACD90F4"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30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92b</w:t>
            </w:r>
          </w:p>
        </w:tc>
        <w:tc>
          <w:tcPr>
            <w:tcW w:w="815" w:type="dxa"/>
            <w:tcBorders>
              <w:top w:val="nil"/>
            </w:tcBorders>
            <w:shd w:val="clear" w:color="auto" w:fill="auto"/>
            <w:vAlign w:val="center"/>
            <w:hideMark/>
          </w:tcPr>
          <w:p w14:paraId="68FCB060" w14:textId="5B5674D8"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30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31bc</w:t>
            </w:r>
          </w:p>
        </w:tc>
        <w:tc>
          <w:tcPr>
            <w:tcW w:w="1063" w:type="dxa"/>
            <w:tcBorders>
              <w:top w:val="nil"/>
            </w:tcBorders>
            <w:shd w:val="clear" w:color="auto" w:fill="auto"/>
            <w:vAlign w:val="center"/>
            <w:hideMark/>
          </w:tcPr>
          <w:p w14:paraId="41074B5C" w14:textId="64BBDEA1"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30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08bc</w:t>
            </w:r>
          </w:p>
        </w:tc>
        <w:tc>
          <w:tcPr>
            <w:tcW w:w="781" w:type="dxa"/>
            <w:tcBorders>
              <w:top w:val="nil"/>
            </w:tcBorders>
            <w:shd w:val="clear" w:color="auto" w:fill="auto"/>
            <w:vAlign w:val="center"/>
            <w:hideMark/>
          </w:tcPr>
          <w:p w14:paraId="4FE2E542" w14:textId="53C94554"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29</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80c</w:t>
            </w:r>
          </w:p>
        </w:tc>
        <w:tc>
          <w:tcPr>
            <w:tcW w:w="764" w:type="dxa"/>
            <w:tcBorders>
              <w:top w:val="nil"/>
            </w:tcBorders>
            <w:shd w:val="clear" w:color="auto" w:fill="auto"/>
            <w:vAlign w:val="center"/>
            <w:hideMark/>
          </w:tcPr>
          <w:p w14:paraId="4E81F0D7" w14:textId="39FB18E6"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30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75bc</w:t>
            </w:r>
          </w:p>
        </w:tc>
        <w:tc>
          <w:tcPr>
            <w:tcW w:w="768" w:type="dxa"/>
            <w:tcBorders>
              <w:top w:val="nil"/>
            </w:tcBorders>
            <w:shd w:val="clear" w:color="auto" w:fill="auto"/>
            <w:vAlign w:val="center"/>
            <w:hideMark/>
          </w:tcPr>
          <w:p w14:paraId="6A01361B" w14:textId="09ED361E"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29</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22d</w:t>
            </w:r>
          </w:p>
        </w:tc>
        <w:tc>
          <w:tcPr>
            <w:tcW w:w="768" w:type="dxa"/>
            <w:tcBorders>
              <w:top w:val="nil"/>
            </w:tcBorders>
            <w:shd w:val="clear" w:color="auto" w:fill="auto"/>
            <w:vAlign w:val="center"/>
            <w:hideMark/>
          </w:tcPr>
          <w:p w14:paraId="4B858705" w14:textId="29FA7D5D"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30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56bc</w:t>
            </w:r>
          </w:p>
        </w:tc>
      </w:tr>
      <w:tr w:rsidR="004E66E1" w:rsidRPr="00BE005D" w14:paraId="6D929DE6" w14:textId="77777777" w:rsidTr="00CD616B">
        <w:trPr>
          <w:trHeight w:val="300"/>
        </w:trPr>
        <w:tc>
          <w:tcPr>
            <w:tcW w:w="2142" w:type="dxa"/>
            <w:tcBorders>
              <w:top w:val="nil"/>
            </w:tcBorders>
            <w:shd w:val="clear" w:color="auto" w:fill="auto"/>
            <w:noWrap/>
            <w:vAlign w:val="center"/>
            <w:hideMark/>
          </w:tcPr>
          <w:p w14:paraId="0D15154B" w14:textId="77777777" w:rsidR="004E66E1" w:rsidRPr="00BE005D" w:rsidRDefault="004E66E1" w:rsidP="004E66E1">
            <w:pPr>
              <w:jc w:val="center"/>
              <w:rPr>
                <w:rFonts w:ascii="Arial" w:hAnsi="Arial" w:cs="Arial"/>
                <w:bCs/>
                <w:color w:val="000000"/>
                <w:sz w:val="16"/>
                <w:szCs w:val="18"/>
              </w:rPr>
            </w:pPr>
            <w:r w:rsidRPr="00BE005D">
              <w:rPr>
                <w:rFonts w:ascii="Arial" w:hAnsi="Arial" w:cs="Arial"/>
                <w:bCs/>
                <w:color w:val="000000"/>
                <w:sz w:val="16"/>
                <w:szCs w:val="18"/>
              </w:rPr>
              <w:t>Total fresh mass (g)</w:t>
            </w:r>
          </w:p>
        </w:tc>
        <w:tc>
          <w:tcPr>
            <w:tcW w:w="771" w:type="dxa"/>
            <w:tcBorders>
              <w:top w:val="nil"/>
            </w:tcBorders>
            <w:shd w:val="clear" w:color="auto" w:fill="auto"/>
            <w:vAlign w:val="center"/>
            <w:hideMark/>
          </w:tcPr>
          <w:p w14:paraId="7CDE96F7" w14:textId="3DA9166C"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33b</w:t>
            </w:r>
          </w:p>
        </w:tc>
        <w:tc>
          <w:tcPr>
            <w:tcW w:w="1018" w:type="dxa"/>
            <w:tcBorders>
              <w:top w:val="nil"/>
            </w:tcBorders>
            <w:shd w:val="clear" w:color="auto" w:fill="auto"/>
            <w:vAlign w:val="center"/>
            <w:hideMark/>
          </w:tcPr>
          <w:p w14:paraId="02526ED5" w14:textId="635C11A2"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38ab</w:t>
            </w:r>
          </w:p>
        </w:tc>
        <w:tc>
          <w:tcPr>
            <w:tcW w:w="815" w:type="dxa"/>
            <w:tcBorders>
              <w:top w:val="nil"/>
            </w:tcBorders>
            <w:shd w:val="clear" w:color="auto" w:fill="auto"/>
            <w:vAlign w:val="center"/>
            <w:hideMark/>
          </w:tcPr>
          <w:p w14:paraId="2F72807A" w14:textId="470A97FE"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22c</w:t>
            </w:r>
          </w:p>
        </w:tc>
        <w:tc>
          <w:tcPr>
            <w:tcW w:w="1063" w:type="dxa"/>
            <w:tcBorders>
              <w:top w:val="nil"/>
            </w:tcBorders>
            <w:shd w:val="clear" w:color="auto" w:fill="auto"/>
            <w:vAlign w:val="center"/>
            <w:hideMark/>
          </w:tcPr>
          <w:p w14:paraId="56B78A69" w14:textId="6607CEC4"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39ab</w:t>
            </w:r>
          </w:p>
        </w:tc>
        <w:tc>
          <w:tcPr>
            <w:tcW w:w="781" w:type="dxa"/>
            <w:tcBorders>
              <w:top w:val="nil"/>
            </w:tcBorders>
            <w:shd w:val="clear" w:color="auto" w:fill="auto"/>
            <w:vAlign w:val="center"/>
            <w:hideMark/>
          </w:tcPr>
          <w:p w14:paraId="5A45B090" w14:textId="192C2C7D"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06d</w:t>
            </w:r>
          </w:p>
        </w:tc>
        <w:tc>
          <w:tcPr>
            <w:tcW w:w="764" w:type="dxa"/>
            <w:tcBorders>
              <w:top w:val="nil"/>
            </w:tcBorders>
            <w:shd w:val="clear" w:color="auto" w:fill="auto"/>
            <w:vAlign w:val="center"/>
            <w:hideMark/>
          </w:tcPr>
          <w:p w14:paraId="3E937D06" w14:textId="4F168609"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25c</w:t>
            </w:r>
          </w:p>
        </w:tc>
        <w:tc>
          <w:tcPr>
            <w:tcW w:w="768" w:type="dxa"/>
            <w:tcBorders>
              <w:top w:val="nil"/>
            </w:tcBorders>
            <w:shd w:val="clear" w:color="auto" w:fill="auto"/>
            <w:vAlign w:val="center"/>
            <w:hideMark/>
          </w:tcPr>
          <w:p w14:paraId="3B301A8F" w14:textId="365C2819"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12d</w:t>
            </w:r>
          </w:p>
        </w:tc>
        <w:tc>
          <w:tcPr>
            <w:tcW w:w="768" w:type="dxa"/>
            <w:tcBorders>
              <w:top w:val="nil"/>
            </w:tcBorders>
            <w:shd w:val="clear" w:color="auto" w:fill="auto"/>
            <w:vAlign w:val="center"/>
            <w:hideMark/>
          </w:tcPr>
          <w:p w14:paraId="3F77AF73" w14:textId="10D6C1E6"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41a</w:t>
            </w:r>
          </w:p>
        </w:tc>
      </w:tr>
      <w:tr w:rsidR="004E66E1" w:rsidRPr="00BE005D" w14:paraId="3C801BDF" w14:textId="77777777" w:rsidTr="00CD616B">
        <w:trPr>
          <w:trHeight w:val="300"/>
        </w:trPr>
        <w:tc>
          <w:tcPr>
            <w:tcW w:w="2142" w:type="dxa"/>
            <w:tcBorders>
              <w:top w:val="nil"/>
            </w:tcBorders>
            <w:shd w:val="clear" w:color="auto" w:fill="auto"/>
            <w:noWrap/>
            <w:vAlign w:val="center"/>
            <w:hideMark/>
          </w:tcPr>
          <w:p w14:paraId="2CC07991" w14:textId="77777777" w:rsidR="004E66E1" w:rsidRPr="00BE005D" w:rsidRDefault="004E66E1" w:rsidP="004E66E1">
            <w:pPr>
              <w:jc w:val="center"/>
              <w:rPr>
                <w:rFonts w:ascii="Arial" w:hAnsi="Arial" w:cs="Arial"/>
                <w:bCs/>
                <w:color w:val="000000"/>
                <w:sz w:val="16"/>
                <w:szCs w:val="18"/>
              </w:rPr>
            </w:pPr>
            <w:r w:rsidRPr="00BE005D">
              <w:rPr>
                <w:rFonts w:ascii="Arial" w:hAnsi="Arial" w:cs="Arial"/>
                <w:bCs/>
                <w:color w:val="000000"/>
                <w:sz w:val="16"/>
                <w:szCs w:val="18"/>
              </w:rPr>
              <w:t>Aerial fresh mass (g)</w:t>
            </w:r>
          </w:p>
        </w:tc>
        <w:tc>
          <w:tcPr>
            <w:tcW w:w="771" w:type="dxa"/>
            <w:tcBorders>
              <w:top w:val="nil"/>
            </w:tcBorders>
            <w:shd w:val="clear" w:color="auto" w:fill="auto"/>
            <w:vAlign w:val="center"/>
            <w:hideMark/>
          </w:tcPr>
          <w:p w14:paraId="6F0470A3" w14:textId="697FBD46"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31a</w:t>
            </w:r>
          </w:p>
        </w:tc>
        <w:tc>
          <w:tcPr>
            <w:tcW w:w="1018" w:type="dxa"/>
            <w:tcBorders>
              <w:top w:val="nil"/>
            </w:tcBorders>
            <w:shd w:val="clear" w:color="auto" w:fill="auto"/>
            <w:vAlign w:val="center"/>
            <w:hideMark/>
          </w:tcPr>
          <w:p w14:paraId="18620990" w14:textId="29E61B2D"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34a</w:t>
            </w:r>
          </w:p>
        </w:tc>
        <w:tc>
          <w:tcPr>
            <w:tcW w:w="815" w:type="dxa"/>
            <w:tcBorders>
              <w:top w:val="nil"/>
            </w:tcBorders>
            <w:shd w:val="clear" w:color="auto" w:fill="auto"/>
            <w:vAlign w:val="center"/>
            <w:hideMark/>
          </w:tcPr>
          <w:p w14:paraId="0415A5F8" w14:textId="4D11FB77"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20b</w:t>
            </w:r>
          </w:p>
        </w:tc>
        <w:tc>
          <w:tcPr>
            <w:tcW w:w="1063" w:type="dxa"/>
            <w:tcBorders>
              <w:top w:val="nil"/>
            </w:tcBorders>
            <w:shd w:val="clear" w:color="auto" w:fill="auto"/>
            <w:vAlign w:val="center"/>
            <w:hideMark/>
          </w:tcPr>
          <w:p w14:paraId="4D8CC79A" w14:textId="50C11745"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35a</w:t>
            </w:r>
          </w:p>
        </w:tc>
        <w:tc>
          <w:tcPr>
            <w:tcW w:w="781" w:type="dxa"/>
            <w:tcBorders>
              <w:top w:val="nil"/>
            </w:tcBorders>
            <w:shd w:val="clear" w:color="auto" w:fill="auto"/>
            <w:vAlign w:val="center"/>
            <w:hideMark/>
          </w:tcPr>
          <w:p w14:paraId="2CD234BD" w14:textId="5468D484"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05d</w:t>
            </w:r>
          </w:p>
        </w:tc>
        <w:tc>
          <w:tcPr>
            <w:tcW w:w="764" w:type="dxa"/>
            <w:tcBorders>
              <w:top w:val="nil"/>
            </w:tcBorders>
            <w:shd w:val="clear" w:color="auto" w:fill="auto"/>
            <w:vAlign w:val="center"/>
            <w:hideMark/>
          </w:tcPr>
          <w:p w14:paraId="173E0FAE" w14:textId="415F9EB4"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23b</w:t>
            </w:r>
          </w:p>
        </w:tc>
        <w:tc>
          <w:tcPr>
            <w:tcW w:w="768" w:type="dxa"/>
            <w:tcBorders>
              <w:top w:val="nil"/>
            </w:tcBorders>
            <w:shd w:val="clear" w:color="auto" w:fill="auto"/>
            <w:vAlign w:val="center"/>
            <w:hideMark/>
          </w:tcPr>
          <w:p w14:paraId="42EC3198" w14:textId="72FBF9D3"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11c</w:t>
            </w:r>
          </w:p>
        </w:tc>
        <w:tc>
          <w:tcPr>
            <w:tcW w:w="768" w:type="dxa"/>
            <w:tcBorders>
              <w:top w:val="nil"/>
            </w:tcBorders>
            <w:shd w:val="clear" w:color="auto" w:fill="auto"/>
            <w:vAlign w:val="center"/>
            <w:hideMark/>
          </w:tcPr>
          <w:p w14:paraId="7A377493" w14:textId="433C6395"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36a</w:t>
            </w:r>
          </w:p>
        </w:tc>
      </w:tr>
      <w:tr w:rsidR="004E66E1" w:rsidRPr="00BE005D" w14:paraId="09FEEEF8" w14:textId="77777777" w:rsidTr="00CD616B">
        <w:trPr>
          <w:trHeight w:val="300"/>
        </w:trPr>
        <w:tc>
          <w:tcPr>
            <w:tcW w:w="2142" w:type="dxa"/>
            <w:tcBorders>
              <w:top w:val="nil"/>
            </w:tcBorders>
            <w:shd w:val="clear" w:color="auto" w:fill="auto"/>
            <w:noWrap/>
            <w:vAlign w:val="center"/>
          </w:tcPr>
          <w:p w14:paraId="19BA0637" w14:textId="77777777" w:rsidR="004E66E1" w:rsidRPr="00BE005D" w:rsidRDefault="004E66E1" w:rsidP="004E66E1">
            <w:pPr>
              <w:jc w:val="center"/>
              <w:rPr>
                <w:rFonts w:ascii="Arial" w:hAnsi="Arial" w:cs="Arial"/>
                <w:bCs/>
                <w:color w:val="000000"/>
                <w:sz w:val="16"/>
                <w:szCs w:val="18"/>
                <w:lang w:val="pt-BR"/>
              </w:rPr>
            </w:pPr>
            <w:r w:rsidRPr="00BE005D">
              <w:rPr>
                <w:rFonts w:ascii="Arial" w:hAnsi="Arial" w:cs="Arial"/>
                <w:bCs/>
                <w:color w:val="000000"/>
                <w:sz w:val="16"/>
                <w:szCs w:val="18"/>
                <w:lang w:val="pt-BR"/>
              </w:rPr>
              <w:t xml:space="preserve">Root </w:t>
            </w:r>
            <w:proofErr w:type="spellStart"/>
            <w:r w:rsidRPr="00BE005D">
              <w:rPr>
                <w:rFonts w:ascii="Arial" w:hAnsi="Arial" w:cs="Arial"/>
                <w:bCs/>
                <w:color w:val="000000"/>
                <w:sz w:val="16"/>
                <w:szCs w:val="18"/>
                <w:lang w:val="pt-BR"/>
              </w:rPr>
              <w:t>fresh</w:t>
            </w:r>
            <w:proofErr w:type="spellEnd"/>
            <w:r w:rsidRPr="00BE005D">
              <w:rPr>
                <w:rFonts w:ascii="Arial" w:hAnsi="Arial" w:cs="Arial"/>
                <w:bCs/>
                <w:color w:val="000000"/>
                <w:sz w:val="16"/>
                <w:szCs w:val="18"/>
                <w:lang w:val="pt-BR"/>
              </w:rPr>
              <w:t xml:space="preserve"> </w:t>
            </w:r>
            <w:proofErr w:type="spellStart"/>
            <w:r w:rsidRPr="00BE005D">
              <w:rPr>
                <w:rFonts w:ascii="Arial" w:hAnsi="Arial" w:cs="Arial"/>
                <w:bCs/>
                <w:color w:val="000000"/>
                <w:sz w:val="16"/>
                <w:szCs w:val="18"/>
                <w:lang w:val="pt-BR"/>
              </w:rPr>
              <w:t>mass</w:t>
            </w:r>
            <w:proofErr w:type="spellEnd"/>
            <w:r w:rsidRPr="00BE005D">
              <w:rPr>
                <w:rFonts w:ascii="Arial" w:hAnsi="Arial" w:cs="Arial"/>
                <w:bCs/>
                <w:color w:val="000000"/>
                <w:sz w:val="16"/>
                <w:szCs w:val="18"/>
                <w:lang w:val="pt-BR"/>
              </w:rPr>
              <w:t xml:space="preserve"> (g)</w:t>
            </w:r>
          </w:p>
        </w:tc>
        <w:tc>
          <w:tcPr>
            <w:tcW w:w="771" w:type="dxa"/>
            <w:tcBorders>
              <w:top w:val="nil"/>
            </w:tcBorders>
            <w:shd w:val="clear" w:color="auto" w:fill="auto"/>
            <w:vAlign w:val="center"/>
          </w:tcPr>
          <w:p w14:paraId="108D3B68" w14:textId="15DF08BA"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02b</w:t>
            </w:r>
          </w:p>
        </w:tc>
        <w:tc>
          <w:tcPr>
            <w:tcW w:w="1018" w:type="dxa"/>
            <w:tcBorders>
              <w:top w:val="nil"/>
            </w:tcBorders>
            <w:shd w:val="clear" w:color="auto" w:fill="auto"/>
            <w:vAlign w:val="center"/>
          </w:tcPr>
          <w:p w14:paraId="152CCCF1" w14:textId="42575C68"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04a</w:t>
            </w:r>
          </w:p>
        </w:tc>
        <w:tc>
          <w:tcPr>
            <w:tcW w:w="815" w:type="dxa"/>
            <w:tcBorders>
              <w:top w:val="nil"/>
            </w:tcBorders>
            <w:shd w:val="clear" w:color="auto" w:fill="auto"/>
            <w:vAlign w:val="center"/>
          </w:tcPr>
          <w:p w14:paraId="72BEE9F4" w14:textId="12C71CC4"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02b</w:t>
            </w:r>
          </w:p>
        </w:tc>
        <w:tc>
          <w:tcPr>
            <w:tcW w:w="1063" w:type="dxa"/>
            <w:tcBorders>
              <w:top w:val="nil"/>
            </w:tcBorders>
            <w:shd w:val="clear" w:color="auto" w:fill="auto"/>
            <w:vAlign w:val="center"/>
          </w:tcPr>
          <w:p w14:paraId="21221C85" w14:textId="019A1D3C"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04a</w:t>
            </w:r>
          </w:p>
        </w:tc>
        <w:tc>
          <w:tcPr>
            <w:tcW w:w="781" w:type="dxa"/>
            <w:tcBorders>
              <w:top w:val="nil"/>
            </w:tcBorders>
            <w:shd w:val="clear" w:color="auto" w:fill="auto"/>
            <w:vAlign w:val="center"/>
          </w:tcPr>
          <w:p w14:paraId="34ACDCEE" w14:textId="24A16FB7"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01c</w:t>
            </w:r>
          </w:p>
        </w:tc>
        <w:tc>
          <w:tcPr>
            <w:tcW w:w="764" w:type="dxa"/>
            <w:tcBorders>
              <w:top w:val="nil"/>
            </w:tcBorders>
            <w:shd w:val="clear" w:color="auto" w:fill="auto"/>
            <w:vAlign w:val="center"/>
          </w:tcPr>
          <w:p w14:paraId="66A45C4B" w14:textId="2D7636AE"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02b</w:t>
            </w:r>
          </w:p>
        </w:tc>
        <w:tc>
          <w:tcPr>
            <w:tcW w:w="768" w:type="dxa"/>
            <w:tcBorders>
              <w:top w:val="nil"/>
            </w:tcBorders>
            <w:shd w:val="clear" w:color="auto" w:fill="auto"/>
            <w:vAlign w:val="center"/>
          </w:tcPr>
          <w:p w14:paraId="4A758E2D" w14:textId="2B0A7DC7"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01c</w:t>
            </w:r>
          </w:p>
        </w:tc>
        <w:tc>
          <w:tcPr>
            <w:tcW w:w="768" w:type="dxa"/>
            <w:tcBorders>
              <w:top w:val="nil"/>
            </w:tcBorders>
            <w:shd w:val="clear" w:color="auto" w:fill="auto"/>
            <w:vAlign w:val="center"/>
          </w:tcPr>
          <w:p w14:paraId="1ADC2187" w14:textId="6BC93408"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8"/>
                <w:lang w:val="en-US"/>
              </w:rPr>
              <w:t>0</w:t>
            </w:r>
            <w:r w:rsidR="00745CD5" w:rsidRPr="00BE005D">
              <w:rPr>
                <w:rFonts w:ascii="Arial" w:hAnsi="Arial" w:cs="Arial"/>
                <w:color w:val="000000"/>
                <w:sz w:val="16"/>
                <w:szCs w:val="18"/>
                <w:lang w:val="en-US"/>
              </w:rPr>
              <w:t>,</w:t>
            </w:r>
            <w:r w:rsidRPr="00BE005D">
              <w:rPr>
                <w:rFonts w:ascii="Arial" w:hAnsi="Arial" w:cs="Arial"/>
                <w:color w:val="000000"/>
                <w:sz w:val="16"/>
                <w:szCs w:val="18"/>
                <w:lang w:val="en-US"/>
              </w:rPr>
              <w:t>05a</w:t>
            </w:r>
          </w:p>
        </w:tc>
      </w:tr>
      <w:tr w:rsidR="004E66E1" w:rsidRPr="00BE005D" w14:paraId="64F321AB" w14:textId="77777777" w:rsidTr="00CD616B">
        <w:trPr>
          <w:trHeight w:val="300"/>
        </w:trPr>
        <w:tc>
          <w:tcPr>
            <w:tcW w:w="2142" w:type="dxa"/>
            <w:tcBorders>
              <w:top w:val="nil"/>
              <w:bottom w:val="single" w:sz="4" w:space="0" w:color="auto"/>
            </w:tcBorders>
            <w:shd w:val="clear" w:color="auto" w:fill="auto"/>
            <w:noWrap/>
            <w:vAlign w:val="center"/>
          </w:tcPr>
          <w:p w14:paraId="1422590B" w14:textId="77777777" w:rsidR="004E66E1" w:rsidRPr="00BE005D" w:rsidRDefault="004E66E1" w:rsidP="004E66E1">
            <w:pPr>
              <w:jc w:val="center"/>
              <w:rPr>
                <w:rFonts w:ascii="Arial" w:hAnsi="Arial" w:cs="Arial"/>
                <w:bCs/>
                <w:color w:val="000000"/>
                <w:sz w:val="16"/>
                <w:szCs w:val="18"/>
                <w:lang w:val="en-US"/>
              </w:rPr>
            </w:pPr>
            <w:r w:rsidRPr="00BE005D">
              <w:rPr>
                <w:rFonts w:ascii="Arial" w:hAnsi="Arial" w:cs="Arial"/>
                <w:bCs/>
                <w:color w:val="000000"/>
                <w:sz w:val="16"/>
                <w:szCs w:val="18"/>
                <w:lang w:val="en-US"/>
              </w:rPr>
              <w:t>Root mass / air mass ratio</w:t>
            </w:r>
          </w:p>
        </w:tc>
        <w:tc>
          <w:tcPr>
            <w:tcW w:w="771" w:type="dxa"/>
            <w:tcBorders>
              <w:top w:val="nil"/>
              <w:bottom w:val="single" w:sz="4" w:space="0" w:color="auto"/>
            </w:tcBorders>
            <w:shd w:val="clear" w:color="auto" w:fill="auto"/>
            <w:vAlign w:val="center"/>
          </w:tcPr>
          <w:p w14:paraId="04BEB046" w14:textId="4A923951"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6"/>
              </w:rPr>
              <w:t>0</w:t>
            </w:r>
            <w:r w:rsidR="00745CD5" w:rsidRPr="00BE005D">
              <w:rPr>
                <w:rFonts w:ascii="Arial" w:hAnsi="Arial" w:cs="Arial"/>
                <w:color w:val="000000"/>
                <w:sz w:val="16"/>
                <w:szCs w:val="16"/>
              </w:rPr>
              <w:t>,</w:t>
            </w:r>
            <w:r w:rsidRPr="00BE005D">
              <w:rPr>
                <w:rFonts w:ascii="Arial" w:hAnsi="Arial" w:cs="Arial"/>
                <w:color w:val="000000"/>
                <w:sz w:val="16"/>
                <w:szCs w:val="16"/>
              </w:rPr>
              <w:t>06</w:t>
            </w:r>
          </w:p>
        </w:tc>
        <w:tc>
          <w:tcPr>
            <w:tcW w:w="1018" w:type="dxa"/>
            <w:tcBorders>
              <w:top w:val="nil"/>
              <w:bottom w:val="single" w:sz="4" w:space="0" w:color="auto"/>
            </w:tcBorders>
            <w:shd w:val="clear" w:color="auto" w:fill="auto"/>
            <w:vAlign w:val="center"/>
          </w:tcPr>
          <w:p w14:paraId="227D2687" w14:textId="690596F2"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6"/>
              </w:rPr>
              <w:t>0</w:t>
            </w:r>
            <w:r w:rsidR="00745CD5" w:rsidRPr="00BE005D">
              <w:rPr>
                <w:rFonts w:ascii="Arial" w:hAnsi="Arial" w:cs="Arial"/>
                <w:color w:val="000000"/>
                <w:sz w:val="16"/>
                <w:szCs w:val="16"/>
              </w:rPr>
              <w:t>,</w:t>
            </w:r>
            <w:r w:rsidRPr="00BE005D">
              <w:rPr>
                <w:rFonts w:ascii="Arial" w:hAnsi="Arial" w:cs="Arial"/>
                <w:color w:val="000000"/>
                <w:sz w:val="16"/>
                <w:szCs w:val="16"/>
              </w:rPr>
              <w:t>12</w:t>
            </w:r>
          </w:p>
        </w:tc>
        <w:tc>
          <w:tcPr>
            <w:tcW w:w="815" w:type="dxa"/>
            <w:tcBorders>
              <w:top w:val="nil"/>
              <w:bottom w:val="single" w:sz="4" w:space="0" w:color="auto"/>
            </w:tcBorders>
            <w:shd w:val="clear" w:color="auto" w:fill="auto"/>
            <w:vAlign w:val="center"/>
          </w:tcPr>
          <w:p w14:paraId="363BCC41" w14:textId="590E370A"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6"/>
              </w:rPr>
              <w:t>0</w:t>
            </w:r>
            <w:r w:rsidR="00745CD5" w:rsidRPr="00BE005D">
              <w:rPr>
                <w:rFonts w:ascii="Arial" w:hAnsi="Arial" w:cs="Arial"/>
                <w:color w:val="000000"/>
                <w:sz w:val="16"/>
                <w:szCs w:val="16"/>
              </w:rPr>
              <w:t>,</w:t>
            </w:r>
            <w:r w:rsidRPr="00BE005D">
              <w:rPr>
                <w:rFonts w:ascii="Arial" w:hAnsi="Arial" w:cs="Arial"/>
                <w:color w:val="000000"/>
                <w:sz w:val="16"/>
                <w:szCs w:val="16"/>
              </w:rPr>
              <w:t>10</w:t>
            </w:r>
          </w:p>
        </w:tc>
        <w:tc>
          <w:tcPr>
            <w:tcW w:w="1063" w:type="dxa"/>
            <w:tcBorders>
              <w:top w:val="nil"/>
              <w:bottom w:val="single" w:sz="4" w:space="0" w:color="auto"/>
            </w:tcBorders>
            <w:shd w:val="clear" w:color="auto" w:fill="auto"/>
            <w:vAlign w:val="center"/>
          </w:tcPr>
          <w:p w14:paraId="2F17B0D5" w14:textId="55DF2A28"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6"/>
              </w:rPr>
              <w:t>0</w:t>
            </w:r>
            <w:r w:rsidR="00745CD5" w:rsidRPr="00BE005D">
              <w:rPr>
                <w:rFonts w:ascii="Arial" w:hAnsi="Arial" w:cs="Arial"/>
                <w:color w:val="000000"/>
                <w:sz w:val="16"/>
                <w:szCs w:val="16"/>
              </w:rPr>
              <w:t>,</w:t>
            </w:r>
            <w:r w:rsidRPr="00BE005D">
              <w:rPr>
                <w:rFonts w:ascii="Arial" w:hAnsi="Arial" w:cs="Arial"/>
                <w:color w:val="000000"/>
                <w:sz w:val="16"/>
                <w:szCs w:val="16"/>
              </w:rPr>
              <w:t>11</w:t>
            </w:r>
          </w:p>
        </w:tc>
        <w:tc>
          <w:tcPr>
            <w:tcW w:w="781" w:type="dxa"/>
            <w:tcBorders>
              <w:top w:val="nil"/>
              <w:bottom w:val="single" w:sz="4" w:space="0" w:color="auto"/>
            </w:tcBorders>
            <w:shd w:val="clear" w:color="auto" w:fill="auto"/>
            <w:vAlign w:val="center"/>
          </w:tcPr>
          <w:p w14:paraId="3AE79F57" w14:textId="306DEE8A"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6"/>
              </w:rPr>
              <w:t>0</w:t>
            </w:r>
            <w:r w:rsidR="00745CD5" w:rsidRPr="00BE005D">
              <w:rPr>
                <w:rFonts w:ascii="Arial" w:hAnsi="Arial" w:cs="Arial"/>
                <w:color w:val="000000"/>
                <w:sz w:val="16"/>
                <w:szCs w:val="16"/>
              </w:rPr>
              <w:t>,</w:t>
            </w:r>
            <w:r w:rsidRPr="00BE005D">
              <w:rPr>
                <w:rFonts w:ascii="Arial" w:hAnsi="Arial" w:cs="Arial"/>
                <w:color w:val="000000"/>
                <w:sz w:val="16"/>
                <w:szCs w:val="16"/>
              </w:rPr>
              <w:t>20</w:t>
            </w:r>
          </w:p>
        </w:tc>
        <w:tc>
          <w:tcPr>
            <w:tcW w:w="764" w:type="dxa"/>
            <w:tcBorders>
              <w:top w:val="nil"/>
              <w:bottom w:val="single" w:sz="4" w:space="0" w:color="auto"/>
            </w:tcBorders>
            <w:shd w:val="clear" w:color="auto" w:fill="auto"/>
            <w:vAlign w:val="center"/>
          </w:tcPr>
          <w:p w14:paraId="62D89CC7" w14:textId="7D99EB39"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6"/>
              </w:rPr>
              <w:t>0</w:t>
            </w:r>
            <w:r w:rsidR="00745CD5" w:rsidRPr="00BE005D">
              <w:rPr>
                <w:rFonts w:ascii="Arial" w:hAnsi="Arial" w:cs="Arial"/>
                <w:color w:val="000000"/>
                <w:sz w:val="16"/>
                <w:szCs w:val="16"/>
              </w:rPr>
              <w:t>,</w:t>
            </w:r>
            <w:r w:rsidRPr="00BE005D">
              <w:rPr>
                <w:rFonts w:ascii="Arial" w:hAnsi="Arial" w:cs="Arial"/>
                <w:color w:val="000000"/>
                <w:sz w:val="16"/>
                <w:szCs w:val="16"/>
              </w:rPr>
              <w:t>09</w:t>
            </w:r>
          </w:p>
        </w:tc>
        <w:tc>
          <w:tcPr>
            <w:tcW w:w="768" w:type="dxa"/>
            <w:tcBorders>
              <w:top w:val="nil"/>
              <w:bottom w:val="single" w:sz="4" w:space="0" w:color="auto"/>
            </w:tcBorders>
            <w:shd w:val="clear" w:color="auto" w:fill="auto"/>
            <w:vAlign w:val="center"/>
          </w:tcPr>
          <w:p w14:paraId="2B0365C5" w14:textId="1B2F7012"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6"/>
              </w:rPr>
              <w:t>0</w:t>
            </w:r>
            <w:r w:rsidR="00745CD5" w:rsidRPr="00BE005D">
              <w:rPr>
                <w:rFonts w:ascii="Arial" w:hAnsi="Arial" w:cs="Arial"/>
                <w:color w:val="000000"/>
                <w:sz w:val="16"/>
                <w:szCs w:val="16"/>
              </w:rPr>
              <w:t>,</w:t>
            </w:r>
            <w:r w:rsidRPr="00BE005D">
              <w:rPr>
                <w:rFonts w:ascii="Arial" w:hAnsi="Arial" w:cs="Arial"/>
                <w:color w:val="000000"/>
                <w:sz w:val="16"/>
                <w:szCs w:val="16"/>
              </w:rPr>
              <w:t>09</w:t>
            </w:r>
          </w:p>
        </w:tc>
        <w:tc>
          <w:tcPr>
            <w:tcW w:w="768" w:type="dxa"/>
            <w:tcBorders>
              <w:top w:val="nil"/>
              <w:bottom w:val="single" w:sz="4" w:space="0" w:color="auto"/>
            </w:tcBorders>
            <w:shd w:val="clear" w:color="auto" w:fill="auto"/>
            <w:vAlign w:val="center"/>
          </w:tcPr>
          <w:p w14:paraId="3C640A7D" w14:textId="007D3DB4" w:rsidR="004E66E1" w:rsidRPr="00BE005D" w:rsidRDefault="004E66E1" w:rsidP="004E66E1">
            <w:pPr>
              <w:jc w:val="center"/>
              <w:rPr>
                <w:rFonts w:ascii="Arial" w:hAnsi="Arial" w:cs="Arial"/>
                <w:color w:val="000000"/>
                <w:sz w:val="16"/>
                <w:szCs w:val="18"/>
              </w:rPr>
            </w:pPr>
            <w:r w:rsidRPr="00BE005D">
              <w:rPr>
                <w:rFonts w:ascii="Arial" w:hAnsi="Arial" w:cs="Arial"/>
                <w:color w:val="000000"/>
                <w:sz w:val="16"/>
                <w:szCs w:val="16"/>
              </w:rPr>
              <w:t>0</w:t>
            </w:r>
            <w:r w:rsidR="00745CD5" w:rsidRPr="00BE005D">
              <w:rPr>
                <w:rFonts w:ascii="Arial" w:hAnsi="Arial" w:cs="Arial"/>
                <w:color w:val="000000"/>
                <w:sz w:val="16"/>
                <w:szCs w:val="16"/>
              </w:rPr>
              <w:t>,</w:t>
            </w:r>
            <w:r w:rsidRPr="00BE005D">
              <w:rPr>
                <w:rFonts w:ascii="Arial" w:hAnsi="Arial" w:cs="Arial"/>
                <w:color w:val="000000"/>
                <w:sz w:val="16"/>
                <w:szCs w:val="16"/>
              </w:rPr>
              <w:t>14</w:t>
            </w:r>
          </w:p>
        </w:tc>
      </w:tr>
    </w:tbl>
    <w:p w14:paraId="5E5F892B" w14:textId="1AD7448C" w:rsidR="004E66E1" w:rsidRPr="00BE005D" w:rsidRDefault="004E66E1" w:rsidP="009F3D52">
      <w:pPr>
        <w:pStyle w:val="NormalWeb"/>
        <w:spacing w:before="0" w:beforeAutospacing="0" w:after="0" w:afterAutospacing="0"/>
        <w:jc w:val="both"/>
        <w:rPr>
          <w:rFonts w:ascii="Arial" w:hAnsi="Arial" w:cs="Arial"/>
          <w:lang w:val="en-US"/>
        </w:rPr>
      </w:pPr>
      <w:r w:rsidRPr="00BE005D">
        <w:rPr>
          <w:rFonts w:ascii="Arial" w:hAnsi="Arial" w:cs="Arial"/>
          <w:sz w:val="18"/>
          <w:szCs w:val="18"/>
          <w:lang w:val="en-US"/>
        </w:rPr>
        <w:t xml:space="preserve">*Similar letters did not differ significantly according to the Duncan´s least significant difference (LSD) test with a </w:t>
      </w:r>
      <w:r w:rsidRPr="00BE005D">
        <w:rPr>
          <w:rFonts w:ascii="Arial" w:hAnsi="Arial" w:cs="Arial"/>
          <w:i/>
          <w:iCs/>
          <w:sz w:val="18"/>
          <w:szCs w:val="18"/>
          <w:lang w:val="en-US"/>
        </w:rPr>
        <w:t>p</w:t>
      </w:r>
      <w:r w:rsidRPr="00BE005D">
        <w:rPr>
          <w:rFonts w:ascii="Arial" w:hAnsi="Arial" w:cs="Arial"/>
          <w:sz w:val="18"/>
          <w:szCs w:val="18"/>
          <w:lang w:val="en-US"/>
        </w:rPr>
        <w:t>-value of 0</w:t>
      </w:r>
      <w:r w:rsidR="00745CD5" w:rsidRPr="00BE005D">
        <w:rPr>
          <w:rFonts w:ascii="Arial" w:hAnsi="Arial" w:cs="Arial"/>
          <w:sz w:val="18"/>
          <w:szCs w:val="18"/>
          <w:lang w:val="en-US"/>
        </w:rPr>
        <w:t>,</w:t>
      </w:r>
      <w:r w:rsidRPr="00BE005D">
        <w:rPr>
          <w:rFonts w:ascii="Arial" w:hAnsi="Arial" w:cs="Arial"/>
          <w:sz w:val="18"/>
          <w:szCs w:val="18"/>
          <w:lang w:val="en-US"/>
        </w:rPr>
        <w:t>05.</w:t>
      </w:r>
    </w:p>
    <w:p w14:paraId="59496131" w14:textId="77777777" w:rsidR="004E66E1" w:rsidRPr="00BE005D" w:rsidRDefault="004E66E1" w:rsidP="004E66E1">
      <w:pPr>
        <w:jc w:val="both"/>
        <w:rPr>
          <w:rFonts w:ascii="Arial" w:hAnsi="Arial" w:cs="Arial"/>
          <w:lang w:val="en-US"/>
        </w:rPr>
      </w:pPr>
    </w:p>
    <w:p w14:paraId="23E8F3B0" w14:textId="77777777" w:rsidR="00AF5006" w:rsidRPr="00BE005D" w:rsidRDefault="00AF5006" w:rsidP="00AF5006">
      <w:pPr>
        <w:jc w:val="both"/>
        <w:rPr>
          <w:rFonts w:ascii="Arial" w:hAnsi="Arial" w:cs="Arial"/>
          <w:sz w:val="22"/>
          <w:szCs w:val="22"/>
          <w:lang w:val="en-US"/>
        </w:rPr>
      </w:pPr>
      <w:r w:rsidRPr="00BE005D">
        <w:rPr>
          <w:rFonts w:ascii="Arial" w:hAnsi="Arial" w:cs="Arial"/>
          <w:sz w:val="22"/>
          <w:szCs w:val="22"/>
          <w:lang w:val="en-US"/>
        </w:rPr>
        <w:t>The maximum values of SI of the three bacteria in NBRIP + aluminum phosphate and NBRIP + iron phosphate were similar in the semiquantitative assays. Statistically significant differences were found in submerged cultures between the indigenous isolates and the type strain.</w:t>
      </w:r>
    </w:p>
    <w:p w14:paraId="11F745EA" w14:textId="77777777" w:rsidR="00AF5006" w:rsidRPr="00BE005D" w:rsidRDefault="00AF5006" w:rsidP="00AF5006">
      <w:pPr>
        <w:jc w:val="both"/>
        <w:rPr>
          <w:rFonts w:ascii="Arial" w:hAnsi="Arial" w:cs="Arial"/>
          <w:sz w:val="22"/>
          <w:szCs w:val="22"/>
          <w:lang w:val="en-US"/>
        </w:rPr>
      </w:pPr>
    </w:p>
    <w:p w14:paraId="3AD9673A" w14:textId="2B8FC3A7" w:rsidR="00AF5006" w:rsidRPr="00BE005D" w:rsidRDefault="00AF5006" w:rsidP="00AF5006">
      <w:pPr>
        <w:jc w:val="both"/>
        <w:rPr>
          <w:rFonts w:ascii="Arial" w:hAnsi="Arial" w:cs="Arial"/>
          <w:sz w:val="22"/>
          <w:szCs w:val="22"/>
          <w:lang w:val="en-US"/>
        </w:rPr>
      </w:pPr>
      <w:r w:rsidRPr="00BE005D">
        <w:rPr>
          <w:rFonts w:ascii="Arial" w:hAnsi="Arial" w:cs="Arial"/>
          <w:sz w:val="22"/>
          <w:szCs w:val="22"/>
          <w:lang w:val="en-US"/>
        </w:rPr>
        <w:t>The protocol usually employed for the selection of phosphate solubilizing microorganisms involves the growth of microorganisms in solid medium, using insoluble inorganic phosphate as the sole source of available P, usually Ca</w:t>
      </w:r>
      <w:r w:rsidRPr="00BE005D">
        <w:rPr>
          <w:rFonts w:ascii="Arial" w:hAnsi="Arial" w:cs="Arial"/>
          <w:sz w:val="22"/>
          <w:szCs w:val="22"/>
          <w:vertAlign w:val="subscript"/>
          <w:lang w:val="en-US"/>
        </w:rPr>
        <w:t>3</w:t>
      </w:r>
      <w:r w:rsidRPr="00BE005D">
        <w:rPr>
          <w:rFonts w:ascii="Arial" w:hAnsi="Arial" w:cs="Arial"/>
          <w:sz w:val="22"/>
          <w:szCs w:val="22"/>
          <w:lang w:val="en-US"/>
        </w:rPr>
        <w:t>(PO</w:t>
      </w:r>
      <w:r w:rsidRPr="00BE005D">
        <w:rPr>
          <w:rFonts w:ascii="Arial" w:hAnsi="Arial" w:cs="Arial"/>
          <w:sz w:val="22"/>
          <w:szCs w:val="22"/>
          <w:vertAlign w:val="subscript"/>
          <w:lang w:val="en-US"/>
        </w:rPr>
        <w:t>4</w:t>
      </w:r>
      <w:r w:rsidRPr="00BE005D">
        <w:rPr>
          <w:rFonts w:ascii="Arial" w:hAnsi="Arial" w:cs="Arial"/>
          <w:sz w:val="22"/>
          <w:szCs w:val="22"/>
          <w:lang w:val="en-US"/>
        </w:rPr>
        <w:t>)</w:t>
      </w:r>
      <w:r w:rsidRPr="00BE005D">
        <w:rPr>
          <w:rFonts w:ascii="Arial" w:hAnsi="Arial" w:cs="Arial"/>
          <w:sz w:val="22"/>
          <w:szCs w:val="22"/>
          <w:vertAlign w:val="subscript"/>
          <w:lang w:val="en-US"/>
        </w:rPr>
        <w:t>2</w:t>
      </w:r>
      <w:r w:rsidRPr="00BE005D">
        <w:rPr>
          <w:rFonts w:ascii="Arial" w:hAnsi="Arial" w:cs="Arial"/>
          <w:sz w:val="22"/>
          <w:szCs w:val="22"/>
          <w:lang w:val="en-US"/>
        </w:rPr>
        <w:t>. A halo is formed as a result of cell growth and metabolism, with a size proportional to the intensity of solubilization (</w:t>
      </w:r>
      <w:proofErr w:type="spellStart"/>
      <w:r w:rsidR="003A3369" w:rsidRPr="00BE005D">
        <w:rPr>
          <w:rFonts w:ascii="Arial" w:hAnsi="Arial" w:cs="Arial"/>
          <w:sz w:val="22"/>
          <w:szCs w:val="22"/>
          <w:lang w:val="en-US"/>
        </w:rPr>
        <w:t>Widdig</w:t>
      </w:r>
      <w:proofErr w:type="spellEnd"/>
      <w:r w:rsidR="003A3369" w:rsidRPr="00BE005D">
        <w:rPr>
          <w:rFonts w:ascii="Arial" w:hAnsi="Arial" w:cs="Arial"/>
          <w:sz w:val="22"/>
          <w:szCs w:val="22"/>
          <w:lang w:val="en-US"/>
        </w:rPr>
        <w:t xml:space="preserve"> </w:t>
      </w:r>
      <w:r w:rsidR="003A3369" w:rsidRPr="00BE005D">
        <w:rPr>
          <w:rFonts w:ascii="Arial" w:hAnsi="Arial" w:cs="Arial"/>
          <w:i/>
          <w:iCs/>
          <w:sz w:val="22"/>
          <w:szCs w:val="22"/>
          <w:lang w:val="en-US"/>
        </w:rPr>
        <w:t>et al</w:t>
      </w:r>
      <w:r w:rsidR="003A3369" w:rsidRPr="00BE005D">
        <w:rPr>
          <w:rFonts w:ascii="Arial" w:hAnsi="Arial" w:cs="Arial"/>
          <w:sz w:val="22"/>
          <w:szCs w:val="22"/>
          <w:lang w:val="en-US"/>
        </w:rPr>
        <w:t>., 2019</w:t>
      </w:r>
      <w:r w:rsidRPr="00BE005D">
        <w:rPr>
          <w:rFonts w:ascii="Arial" w:hAnsi="Arial" w:cs="Arial"/>
          <w:sz w:val="22"/>
          <w:szCs w:val="22"/>
          <w:lang w:val="en-US"/>
        </w:rPr>
        <w:t>). One disadvantage of this method has to do with the fact that, in the soil, the fraction of inorganic P available interacts with different metal elements according to the pH, producing complexes with aluminum and iron in acidic soils (FePO</w:t>
      </w:r>
      <w:r w:rsidRPr="00BE005D">
        <w:rPr>
          <w:rFonts w:ascii="Arial" w:hAnsi="Arial" w:cs="Arial"/>
          <w:sz w:val="22"/>
          <w:szCs w:val="22"/>
          <w:vertAlign w:val="subscript"/>
          <w:lang w:val="en-US"/>
        </w:rPr>
        <w:t>4</w:t>
      </w:r>
      <w:r w:rsidRPr="00BE005D">
        <w:rPr>
          <w:rFonts w:ascii="Arial" w:hAnsi="Arial" w:cs="Arial"/>
          <w:sz w:val="22"/>
          <w:szCs w:val="22"/>
          <w:lang w:val="en-US"/>
        </w:rPr>
        <w:t xml:space="preserve"> or AlPO</w:t>
      </w:r>
      <w:r w:rsidRPr="00BE005D">
        <w:rPr>
          <w:rFonts w:ascii="Arial" w:hAnsi="Arial" w:cs="Arial"/>
          <w:sz w:val="22"/>
          <w:szCs w:val="22"/>
          <w:vertAlign w:val="subscript"/>
          <w:lang w:val="en-US"/>
        </w:rPr>
        <w:t>4</w:t>
      </w:r>
      <w:r w:rsidRPr="00BE005D">
        <w:rPr>
          <w:rFonts w:ascii="Arial" w:hAnsi="Arial" w:cs="Arial"/>
          <w:sz w:val="22"/>
          <w:szCs w:val="22"/>
          <w:lang w:val="en-US"/>
        </w:rPr>
        <w:t>) and with calcium in alkaline soils (Ca</w:t>
      </w:r>
      <w:r w:rsidRPr="00BE005D">
        <w:rPr>
          <w:rFonts w:ascii="Arial" w:hAnsi="Arial" w:cs="Arial"/>
          <w:sz w:val="22"/>
          <w:szCs w:val="22"/>
          <w:vertAlign w:val="subscript"/>
          <w:lang w:val="en-US"/>
        </w:rPr>
        <w:t>3</w:t>
      </w:r>
      <w:r w:rsidRPr="00BE005D">
        <w:rPr>
          <w:rFonts w:ascii="Arial" w:hAnsi="Arial" w:cs="Arial"/>
          <w:sz w:val="22"/>
          <w:szCs w:val="22"/>
          <w:lang w:val="en-US"/>
        </w:rPr>
        <w:t>(PO</w:t>
      </w:r>
      <w:r w:rsidRPr="00BE005D">
        <w:rPr>
          <w:rFonts w:ascii="Arial" w:hAnsi="Arial" w:cs="Arial"/>
          <w:sz w:val="22"/>
          <w:szCs w:val="22"/>
          <w:vertAlign w:val="subscript"/>
          <w:lang w:val="en-US"/>
        </w:rPr>
        <w:t>4</w:t>
      </w:r>
      <w:r w:rsidRPr="00BE005D">
        <w:rPr>
          <w:rFonts w:ascii="Arial" w:hAnsi="Arial" w:cs="Arial"/>
          <w:sz w:val="22"/>
          <w:szCs w:val="22"/>
          <w:lang w:val="en-US"/>
        </w:rPr>
        <w:t>)</w:t>
      </w:r>
      <w:r w:rsidRPr="00BE005D">
        <w:rPr>
          <w:rFonts w:ascii="Arial" w:hAnsi="Arial" w:cs="Arial"/>
          <w:sz w:val="22"/>
          <w:szCs w:val="22"/>
          <w:vertAlign w:val="subscript"/>
          <w:lang w:val="en-US"/>
        </w:rPr>
        <w:t>2</w:t>
      </w:r>
      <w:r w:rsidRPr="00BE005D">
        <w:rPr>
          <w:rFonts w:ascii="Arial" w:hAnsi="Arial" w:cs="Arial"/>
          <w:sz w:val="22"/>
          <w:szCs w:val="22"/>
          <w:lang w:val="en-US"/>
        </w:rPr>
        <w:t>) (</w:t>
      </w:r>
      <w:r w:rsidR="00E13454" w:rsidRPr="00BE005D">
        <w:rPr>
          <w:rFonts w:ascii="Arial" w:hAnsi="Arial" w:cs="Arial"/>
          <w:noProof/>
          <w:sz w:val="22"/>
          <w:szCs w:val="22"/>
          <w:lang w:val="en-US"/>
        </w:rPr>
        <w:t xml:space="preserve">Penn </w:t>
      </w:r>
      <w:r w:rsidR="0025720E" w:rsidRPr="00BE005D">
        <w:rPr>
          <w:rFonts w:ascii="Arial" w:hAnsi="Arial" w:cs="Arial"/>
          <w:noProof/>
          <w:sz w:val="22"/>
          <w:szCs w:val="22"/>
          <w:lang w:val="en-US"/>
        </w:rPr>
        <w:t>and</w:t>
      </w:r>
      <w:r w:rsidR="00E13454" w:rsidRPr="00BE005D">
        <w:rPr>
          <w:rFonts w:ascii="Arial" w:hAnsi="Arial" w:cs="Arial"/>
          <w:noProof/>
          <w:sz w:val="22"/>
          <w:szCs w:val="22"/>
          <w:lang w:val="en-US"/>
        </w:rPr>
        <w:t xml:space="preserve"> Camberato</w:t>
      </w:r>
      <w:r w:rsidR="006C661A" w:rsidRPr="00BE005D">
        <w:rPr>
          <w:rFonts w:ascii="Arial" w:hAnsi="Arial" w:cs="Arial"/>
          <w:noProof/>
          <w:sz w:val="22"/>
          <w:szCs w:val="22"/>
          <w:lang w:val="en-US"/>
        </w:rPr>
        <w:t>,</w:t>
      </w:r>
      <w:r w:rsidR="00E13454" w:rsidRPr="00BE005D">
        <w:rPr>
          <w:rFonts w:ascii="Arial" w:hAnsi="Arial" w:cs="Arial"/>
          <w:noProof/>
          <w:sz w:val="22"/>
          <w:szCs w:val="22"/>
          <w:lang w:val="en-US"/>
        </w:rPr>
        <w:t xml:space="preserve"> 2019</w:t>
      </w:r>
      <w:r w:rsidRPr="00BE005D">
        <w:rPr>
          <w:rFonts w:ascii="Arial" w:hAnsi="Arial" w:cs="Arial"/>
          <w:sz w:val="22"/>
          <w:szCs w:val="22"/>
          <w:lang w:val="en-US"/>
        </w:rPr>
        <w:t>). For this reason, in this work it was decided to use three different forms of insoluble P (FePO</w:t>
      </w:r>
      <w:r w:rsidRPr="00BE005D">
        <w:rPr>
          <w:rFonts w:ascii="Arial" w:hAnsi="Arial" w:cs="Arial"/>
          <w:sz w:val="22"/>
          <w:szCs w:val="22"/>
          <w:vertAlign w:val="subscript"/>
          <w:lang w:val="en-US"/>
        </w:rPr>
        <w:t>4</w:t>
      </w:r>
      <w:r w:rsidRPr="00BE005D">
        <w:rPr>
          <w:rFonts w:ascii="Arial" w:hAnsi="Arial" w:cs="Arial"/>
          <w:sz w:val="22"/>
          <w:szCs w:val="22"/>
          <w:lang w:val="en-US"/>
        </w:rPr>
        <w:t>, AlPO</w:t>
      </w:r>
      <w:r w:rsidRPr="00BE005D">
        <w:rPr>
          <w:rFonts w:ascii="Arial" w:hAnsi="Arial" w:cs="Arial"/>
          <w:sz w:val="22"/>
          <w:szCs w:val="22"/>
          <w:vertAlign w:val="subscript"/>
          <w:lang w:val="en-US"/>
        </w:rPr>
        <w:t>4</w:t>
      </w:r>
      <w:r w:rsidRPr="00BE005D">
        <w:rPr>
          <w:rFonts w:ascii="Arial" w:hAnsi="Arial" w:cs="Arial"/>
          <w:sz w:val="22"/>
          <w:szCs w:val="22"/>
          <w:lang w:val="en-US"/>
        </w:rPr>
        <w:t xml:space="preserve"> and Ca</w:t>
      </w:r>
      <w:r w:rsidRPr="00BE005D">
        <w:rPr>
          <w:rFonts w:ascii="Arial" w:hAnsi="Arial" w:cs="Arial"/>
          <w:sz w:val="22"/>
          <w:szCs w:val="22"/>
          <w:vertAlign w:val="subscript"/>
          <w:lang w:val="en-US"/>
        </w:rPr>
        <w:t>3</w:t>
      </w:r>
      <w:r w:rsidRPr="00BE005D">
        <w:rPr>
          <w:rFonts w:ascii="Arial" w:hAnsi="Arial" w:cs="Arial"/>
          <w:sz w:val="22"/>
          <w:szCs w:val="22"/>
          <w:lang w:val="en-US"/>
        </w:rPr>
        <w:t>(PO</w:t>
      </w:r>
      <w:r w:rsidRPr="00BE005D">
        <w:rPr>
          <w:rFonts w:ascii="Arial" w:hAnsi="Arial" w:cs="Arial"/>
          <w:sz w:val="22"/>
          <w:szCs w:val="22"/>
          <w:vertAlign w:val="subscript"/>
          <w:lang w:val="en-US"/>
        </w:rPr>
        <w:t>4</w:t>
      </w:r>
      <w:r w:rsidRPr="00BE005D">
        <w:rPr>
          <w:rFonts w:ascii="Arial" w:hAnsi="Arial" w:cs="Arial"/>
          <w:sz w:val="22"/>
          <w:szCs w:val="22"/>
          <w:lang w:val="en-US"/>
        </w:rPr>
        <w:t>)</w:t>
      </w:r>
      <w:r w:rsidRPr="00BE005D">
        <w:rPr>
          <w:rFonts w:ascii="Arial" w:hAnsi="Arial" w:cs="Arial"/>
          <w:sz w:val="22"/>
          <w:szCs w:val="22"/>
          <w:vertAlign w:val="subscript"/>
          <w:lang w:val="en-US"/>
        </w:rPr>
        <w:t>2</w:t>
      </w:r>
      <w:r w:rsidRPr="00BE005D">
        <w:rPr>
          <w:rFonts w:ascii="Arial" w:hAnsi="Arial" w:cs="Arial"/>
          <w:sz w:val="22"/>
          <w:szCs w:val="22"/>
          <w:lang w:val="en-US"/>
        </w:rPr>
        <w:t>) as sources of phosphate for the initial evaluation of the phosphate solubilizing ability of the bacteria under study.</w:t>
      </w:r>
    </w:p>
    <w:p w14:paraId="36ECC49E" w14:textId="77777777" w:rsidR="00AF5006" w:rsidRPr="00BE005D" w:rsidRDefault="00AF5006" w:rsidP="00AF5006">
      <w:pPr>
        <w:jc w:val="both"/>
        <w:rPr>
          <w:rFonts w:ascii="Arial" w:hAnsi="Arial" w:cs="Arial"/>
          <w:sz w:val="22"/>
          <w:szCs w:val="22"/>
          <w:lang w:val="en-US"/>
        </w:rPr>
      </w:pPr>
    </w:p>
    <w:p w14:paraId="4159F011" w14:textId="42231398" w:rsidR="00AF5006" w:rsidRPr="00BE005D" w:rsidRDefault="00AF5006" w:rsidP="00AF5006">
      <w:pPr>
        <w:jc w:val="both"/>
        <w:rPr>
          <w:rFonts w:ascii="Arial" w:hAnsi="Arial" w:cs="Arial"/>
          <w:sz w:val="22"/>
          <w:szCs w:val="22"/>
          <w:lang w:val="en-US"/>
        </w:rPr>
      </w:pPr>
      <w:r w:rsidRPr="00BE005D">
        <w:rPr>
          <w:rFonts w:ascii="Arial" w:hAnsi="Arial" w:cs="Arial"/>
          <w:sz w:val="22"/>
          <w:szCs w:val="22"/>
          <w:lang w:val="en-US"/>
        </w:rPr>
        <w:t>Numerous authors have found that the semiquantitative method based on screening plate often presents conflicting results by subjecting microorganisms to assessment in their ability to solubilize P in liquid media (</w:t>
      </w:r>
      <w:r w:rsidR="00834261" w:rsidRPr="00BE005D">
        <w:rPr>
          <w:rFonts w:ascii="Arial" w:hAnsi="Arial" w:cs="Arial"/>
          <w:sz w:val="22"/>
          <w:szCs w:val="22"/>
          <w:lang w:val="en-US"/>
        </w:rPr>
        <w:t xml:space="preserve">Ibáñez </w:t>
      </w:r>
      <w:r w:rsidR="00834261" w:rsidRPr="00BE005D">
        <w:rPr>
          <w:rFonts w:ascii="Arial" w:hAnsi="Arial" w:cs="Arial"/>
          <w:i/>
          <w:iCs/>
          <w:sz w:val="22"/>
          <w:szCs w:val="22"/>
          <w:lang w:val="en-US"/>
        </w:rPr>
        <w:t>et al</w:t>
      </w:r>
      <w:r w:rsidR="00834261" w:rsidRPr="00BE005D">
        <w:rPr>
          <w:rFonts w:ascii="Arial" w:hAnsi="Arial" w:cs="Arial"/>
          <w:sz w:val="22"/>
          <w:szCs w:val="22"/>
          <w:lang w:val="en-US"/>
        </w:rPr>
        <w:t xml:space="preserve">., 2021; </w:t>
      </w:r>
      <w:r w:rsidRPr="00BE005D">
        <w:rPr>
          <w:rFonts w:ascii="Arial" w:hAnsi="Arial" w:cs="Arial"/>
          <w:sz w:val="22"/>
          <w:szCs w:val="22"/>
          <w:lang w:val="en-US"/>
        </w:rPr>
        <w:t xml:space="preserve">Bashan </w:t>
      </w:r>
      <w:r w:rsidRPr="00BE005D">
        <w:rPr>
          <w:rFonts w:ascii="Arial" w:hAnsi="Arial" w:cs="Arial"/>
          <w:i/>
          <w:sz w:val="22"/>
          <w:szCs w:val="22"/>
          <w:lang w:val="en-US"/>
        </w:rPr>
        <w:t>et al.</w:t>
      </w:r>
      <w:r w:rsidRPr="00BE005D">
        <w:rPr>
          <w:rFonts w:ascii="Arial" w:hAnsi="Arial" w:cs="Arial"/>
          <w:sz w:val="22"/>
          <w:szCs w:val="22"/>
          <w:lang w:val="en-US"/>
        </w:rPr>
        <w:t xml:space="preserve">, 2013). This may be due to how microorganisms interact with P complexes in the different matrices: in solid media, the growth area of the colony limits the contact of microorganisms with P complexes, which is confined to the small space under and around the colony. On the other hand, degradation of complexes in liquid media can be more efficient due to the adherence and attack of many microorganisms in the different </w:t>
      </w:r>
      <w:r w:rsidRPr="00BE005D">
        <w:rPr>
          <w:rFonts w:ascii="Arial" w:hAnsi="Arial" w:cs="Arial"/>
          <w:sz w:val="22"/>
          <w:szCs w:val="22"/>
          <w:lang w:val="en-US"/>
        </w:rPr>
        <w:lastRenderedPageBreak/>
        <w:t>dimensions of the pellets, leading to a more efficient solubilization. Due to the abovementioned, it is considered that the quantification of free P in submerged culture provides a more objective measurement of the ability of microorganisms to degrade insoluble P.</w:t>
      </w:r>
    </w:p>
    <w:p w14:paraId="089ACBE4" w14:textId="77777777" w:rsidR="00AF5006" w:rsidRPr="00BE005D" w:rsidRDefault="00AF5006" w:rsidP="00AF5006">
      <w:pPr>
        <w:jc w:val="both"/>
        <w:rPr>
          <w:rFonts w:ascii="Arial" w:hAnsi="Arial" w:cs="Arial"/>
          <w:bCs/>
          <w:sz w:val="22"/>
          <w:szCs w:val="22"/>
          <w:lang w:val="en-US"/>
        </w:rPr>
      </w:pPr>
    </w:p>
    <w:p w14:paraId="325B8768" w14:textId="343FA49C" w:rsidR="00AF5006" w:rsidRPr="00BE005D" w:rsidRDefault="00AF5006" w:rsidP="00AF5006">
      <w:pPr>
        <w:jc w:val="both"/>
        <w:rPr>
          <w:rFonts w:ascii="Arial" w:hAnsi="Arial" w:cs="Arial"/>
          <w:sz w:val="22"/>
          <w:szCs w:val="22"/>
          <w:lang w:val="en-US"/>
        </w:rPr>
      </w:pPr>
      <w:r w:rsidRPr="00BE005D">
        <w:rPr>
          <w:rFonts w:ascii="Arial" w:hAnsi="Arial" w:cs="Arial"/>
          <w:bCs/>
          <w:sz w:val="22"/>
          <w:szCs w:val="22"/>
          <w:lang w:val="en-US"/>
        </w:rPr>
        <w:t>In quantification of soluble P late</w:t>
      </w:r>
      <w:r w:rsidRPr="00BE005D">
        <w:rPr>
          <w:rFonts w:ascii="Arial" w:hAnsi="Arial" w:cs="Arial"/>
          <w:sz w:val="22"/>
          <w:szCs w:val="22"/>
          <w:lang w:val="en-US"/>
        </w:rPr>
        <w:t xml:space="preserve"> increases occurred in the release of P between 192 and 216 hours of incubation in media supplemented with aluminum phosphate and iron phosphate. Such increases could be related to the stage of decline or death of the bacteria, where the P incorporated into the biomass is subsequently released as a result of cell lysis (Restrepo </w:t>
      </w:r>
      <w:r w:rsidRPr="00BE005D">
        <w:rPr>
          <w:rFonts w:ascii="Arial" w:hAnsi="Arial" w:cs="Arial"/>
          <w:i/>
          <w:sz w:val="22"/>
          <w:szCs w:val="22"/>
          <w:lang w:val="en-US"/>
        </w:rPr>
        <w:t>et al.</w:t>
      </w:r>
      <w:r w:rsidRPr="00BE005D">
        <w:rPr>
          <w:rFonts w:ascii="Arial" w:hAnsi="Arial" w:cs="Arial"/>
          <w:sz w:val="22"/>
          <w:szCs w:val="22"/>
          <w:lang w:val="en-US"/>
        </w:rPr>
        <w:t xml:space="preserve">, 2015). </w:t>
      </w:r>
    </w:p>
    <w:p w14:paraId="70F3EE8E" w14:textId="77777777" w:rsidR="00AF5006" w:rsidRPr="00BE005D" w:rsidRDefault="00AF5006" w:rsidP="00AF5006">
      <w:pPr>
        <w:jc w:val="both"/>
        <w:rPr>
          <w:rFonts w:ascii="Arial" w:hAnsi="Arial" w:cs="Arial"/>
          <w:sz w:val="22"/>
          <w:szCs w:val="22"/>
          <w:lang w:val="en-US"/>
        </w:rPr>
      </w:pPr>
    </w:p>
    <w:p w14:paraId="7C666257" w14:textId="09258D28" w:rsidR="00AF5006" w:rsidRPr="00BE005D" w:rsidRDefault="00AF5006" w:rsidP="00AF5006">
      <w:pPr>
        <w:jc w:val="both"/>
        <w:rPr>
          <w:rFonts w:ascii="Arial" w:hAnsi="Arial" w:cs="Arial"/>
          <w:sz w:val="22"/>
          <w:szCs w:val="22"/>
          <w:lang w:val="en-US"/>
        </w:rPr>
      </w:pPr>
      <w:r w:rsidRPr="00BE005D">
        <w:rPr>
          <w:rFonts w:ascii="Arial" w:hAnsi="Arial" w:cs="Arial"/>
          <w:sz w:val="22"/>
          <w:szCs w:val="22"/>
          <w:lang w:val="en-US"/>
        </w:rPr>
        <w:t>Inorganic phosphate solubilization is often associated with decreasing pH in the culture medium, which is often associated with the production of organic acids such as gluconic, keto-gluconic and lactic</w:t>
      </w:r>
      <w:r w:rsidR="006D4549" w:rsidRPr="00BE005D">
        <w:rPr>
          <w:rFonts w:ascii="Arial" w:hAnsi="Arial" w:cs="Arial"/>
          <w:sz w:val="22"/>
          <w:szCs w:val="22"/>
          <w:lang w:val="en-US"/>
        </w:rPr>
        <w:t>.</w:t>
      </w:r>
      <w:r w:rsidRPr="00BE005D">
        <w:rPr>
          <w:rFonts w:ascii="Arial" w:hAnsi="Arial" w:cs="Arial"/>
          <w:sz w:val="22"/>
          <w:szCs w:val="22"/>
          <w:lang w:val="en-US"/>
        </w:rPr>
        <w:t xml:space="preserve"> This decrease is not strictly proportional to the amount of P released </w:t>
      </w:r>
      <w:r w:rsidR="006D4549" w:rsidRPr="00BE005D">
        <w:rPr>
          <w:rFonts w:ascii="Arial" w:hAnsi="Arial" w:cs="Arial"/>
          <w:sz w:val="22"/>
          <w:szCs w:val="22"/>
          <w:lang w:val="en-US"/>
        </w:rPr>
        <w:t xml:space="preserve">(Macias </w:t>
      </w:r>
      <w:r w:rsidR="006D4549" w:rsidRPr="00BE005D">
        <w:rPr>
          <w:rFonts w:ascii="Arial" w:hAnsi="Arial" w:cs="Arial"/>
          <w:i/>
          <w:iCs/>
          <w:sz w:val="22"/>
          <w:szCs w:val="22"/>
          <w:lang w:val="en-US"/>
        </w:rPr>
        <w:t>et al</w:t>
      </w:r>
      <w:r w:rsidR="006D4549" w:rsidRPr="00BE005D">
        <w:rPr>
          <w:rFonts w:ascii="Arial" w:hAnsi="Arial" w:cs="Arial"/>
          <w:sz w:val="22"/>
          <w:szCs w:val="22"/>
          <w:lang w:val="en-US"/>
        </w:rPr>
        <w:t>., 2020)</w:t>
      </w:r>
      <w:r w:rsidRPr="00BE005D">
        <w:rPr>
          <w:rFonts w:ascii="Arial" w:hAnsi="Arial" w:cs="Arial"/>
          <w:sz w:val="22"/>
          <w:szCs w:val="22"/>
          <w:lang w:val="en-US"/>
        </w:rPr>
        <w:t>. Some studies have found a direct correlation between decreasing pH and increasing soluble P in crops, but other reports have not observed this phenomenon (</w:t>
      </w:r>
      <w:r w:rsidR="002004D2" w:rsidRPr="00BE005D">
        <w:rPr>
          <w:rFonts w:ascii="Arial" w:hAnsi="Arial" w:cs="Arial"/>
          <w:noProof/>
          <w:sz w:val="22"/>
          <w:szCs w:val="22"/>
          <w:lang w:val="en-US"/>
        </w:rPr>
        <w:t xml:space="preserve">Penn </w:t>
      </w:r>
      <w:r w:rsidR="005B0C84" w:rsidRPr="00BE005D">
        <w:rPr>
          <w:rFonts w:ascii="Arial" w:hAnsi="Arial" w:cs="Arial"/>
          <w:noProof/>
          <w:sz w:val="22"/>
          <w:szCs w:val="22"/>
          <w:lang w:val="en-US"/>
        </w:rPr>
        <w:t>and</w:t>
      </w:r>
      <w:r w:rsidR="002004D2" w:rsidRPr="00BE005D">
        <w:rPr>
          <w:rFonts w:ascii="Arial" w:hAnsi="Arial" w:cs="Arial"/>
          <w:noProof/>
          <w:sz w:val="22"/>
          <w:szCs w:val="22"/>
          <w:lang w:val="en-US"/>
        </w:rPr>
        <w:t xml:space="preserve"> Camberato, 2019</w:t>
      </w:r>
      <w:r w:rsidRPr="00BE005D">
        <w:rPr>
          <w:rFonts w:ascii="Arial" w:hAnsi="Arial" w:cs="Arial"/>
          <w:sz w:val="22"/>
          <w:szCs w:val="22"/>
          <w:lang w:val="en-US"/>
        </w:rPr>
        <w:t xml:space="preserve">). This suggests that, besides the production of acid, other mechanisms are involved in microbial solubilization of the various sources of phosphate. In this sense, </w:t>
      </w:r>
      <w:r w:rsidRPr="00BE005D">
        <w:rPr>
          <w:rFonts w:ascii="Arial" w:hAnsi="Arial" w:cs="Arial"/>
          <w:noProof/>
          <w:sz w:val="22"/>
          <w:szCs w:val="22"/>
          <w:lang w:val="en-US"/>
        </w:rPr>
        <w:t xml:space="preserve">Estrada </w:t>
      </w:r>
      <w:r w:rsidRPr="00BE005D">
        <w:rPr>
          <w:rFonts w:ascii="Arial" w:hAnsi="Arial" w:cs="Arial"/>
          <w:i/>
          <w:iCs/>
          <w:noProof/>
          <w:sz w:val="22"/>
          <w:szCs w:val="22"/>
          <w:lang w:val="en-US"/>
        </w:rPr>
        <w:t>et al</w:t>
      </w:r>
      <w:r w:rsidRPr="00BE005D">
        <w:rPr>
          <w:rFonts w:ascii="Arial" w:hAnsi="Arial" w:cs="Arial"/>
          <w:noProof/>
          <w:sz w:val="22"/>
          <w:szCs w:val="22"/>
          <w:lang w:val="en-US"/>
        </w:rPr>
        <w:t>.</w:t>
      </w:r>
      <w:r w:rsidR="00600C07" w:rsidRPr="00BE005D">
        <w:rPr>
          <w:rFonts w:ascii="Arial" w:hAnsi="Arial" w:cs="Arial"/>
          <w:noProof/>
          <w:sz w:val="22"/>
          <w:szCs w:val="22"/>
          <w:lang w:val="en-US"/>
        </w:rPr>
        <w:t>,</w:t>
      </w:r>
      <w:r w:rsidRPr="00BE005D">
        <w:rPr>
          <w:rFonts w:ascii="Arial" w:hAnsi="Arial" w:cs="Arial"/>
          <w:noProof/>
          <w:sz w:val="22"/>
          <w:szCs w:val="22"/>
          <w:lang w:val="en-US"/>
        </w:rPr>
        <w:t xml:space="preserve"> </w:t>
      </w:r>
      <w:r w:rsidRPr="00BE005D">
        <w:rPr>
          <w:rFonts w:ascii="Arial" w:hAnsi="Arial" w:cs="Arial"/>
          <w:sz w:val="22"/>
          <w:szCs w:val="22"/>
          <w:lang w:val="en-US"/>
        </w:rPr>
        <w:t xml:space="preserve">(2013) found that the maximum value of P solubilized by </w:t>
      </w:r>
      <w:r w:rsidRPr="00BE005D">
        <w:rPr>
          <w:rFonts w:ascii="Arial" w:hAnsi="Arial" w:cs="Arial"/>
          <w:i/>
          <w:sz w:val="22"/>
          <w:szCs w:val="22"/>
          <w:lang w:val="en-US"/>
        </w:rPr>
        <w:t>G. diazotrophicus</w:t>
      </w:r>
      <w:r w:rsidRPr="00BE005D">
        <w:rPr>
          <w:rFonts w:ascii="Arial" w:hAnsi="Arial" w:cs="Arial"/>
          <w:sz w:val="22"/>
          <w:szCs w:val="22"/>
          <w:lang w:val="en-US"/>
        </w:rPr>
        <w:t xml:space="preserve"> ATCC 49037 was 239 mg/</w:t>
      </w:r>
      <w:r w:rsidR="00977D3A" w:rsidRPr="00BE005D">
        <w:rPr>
          <w:rFonts w:ascii="Arial" w:hAnsi="Arial" w:cs="Arial"/>
          <w:sz w:val="22"/>
          <w:szCs w:val="22"/>
          <w:lang w:val="en-US"/>
        </w:rPr>
        <w:t>L</w:t>
      </w:r>
      <w:r w:rsidRPr="00BE005D">
        <w:rPr>
          <w:rFonts w:ascii="Arial" w:hAnsi="Arial" w:cs="Arial"/>
          <w:sz w:val="22"/>
          <w:szCs w:val="22"/>
          <w:lang w:val="en-US"/>
        </w:rPr>
        <w:t xml:space="preserve"> in NBRIP supplemented with tricalcium phosphate, reporting a direct relationship between the solubilization of P and the decrease of </w:t>
      </w:r>
      <w:proofErr w:type="spellStart"/>
      <w:r w:rsidRPr="00BE005D">
        <w:rPr>
          <w:rFonts w:ascii="Arial" w:hAnsi="Arial" w:cs="Arial"/>
          <w:sz w:val="22"/>
          <w:szCs w:val="22"/>
          <w:lang w:val="en-US"/>
        </w:rPr>
        <w:t>pH.</w:t>
      </w:r>
      <w:proofErr w:type="spellEnd"/>
    </w:p>
    <w:p w14:paraId="61B02ACE" w14:textId="77777777" w:rsidR="00AF5006" w:rsidRPr="00BE005D" w:rsidRDefault="00AF5006" w:rsidP="00AF5006">
      <w:pPr>
        <w:jc w:val="both"/>
        <w:rPr>
          <w:rFonts w:ascii="Arial" w:hAnsi="Arial" w:cs="Arial"/>
          <w:sz w:val="22"/>
          <w:szCs w:val="22"/>
          <w:lang w:val="en-US"/>
        </w:rPr>
      </w:pPr>
    </w:p>
    <w:p w14:paraId="7ED7A155" w14:textId="5913A510" w:rsidR="00AF5006" w:rsidRPr="00BE005D" w:rsidRDefault="00AF5006" w:rsidP="00AF5006">
      <w:pPr>
        <w:jc w:val="both"/>
        <w:rPr>
          <w:rFonts w:ascii="Arial" w:hAnsi="Arial" w:cs="Arial"/>
          <w:sz w:val="22"/>
          <w:szCs w:val="22"/>
          <w:lang w:val="en-US"/>
        </w:rPr>
      </w:pPr>
      <w:r w:rsidRPr="00BE005D">
        <w:rPr>
          <w:rFonts w:ascii="Arial" w:hAnsi="Arial" w:cs="Arial"/>
          <w:sz w:val="22"/>
          <w:szCs w:val="22"/>
          <w:lang w:val="en-US"/>
        </w:rPr>
        <w:t>The root mass / aerial mass ratio showed its best behavior in the control treatments with P and bacteria with addition of P. However, despite this relationship being halved in the case of isolate GIBI025, a change is evident only in fresh root mass, which is reduced by half, preserving the value of the aerial mass, while in isolation GIBI029, both the aerial part and the root portion are reduced.</w:t>
      </w:r>
    </w:p>
    <w:p w14:paraId="133AC787" w14:textId="77777777" w:rsidR="00AF5006" w:rsidRPr="00BE005D" w:rsidRDefault="00AF5006" w:rsidP="00AF5006">
      <w:pPr>
        <w:jc w:val="both"/>
        <w:rPr>
          <w:rFonts w:ascii="Arial" w:hAnsi="Arial" w:cs="Arial"/>
          <w:sz w:val="22"/>
          <w:szCs w:val="22"/>
          <w:lang w:val="en-US"/>
        </w:rPr>
      </w:pPr>
    </w:p>
    <w:p w14:paraId="3155324A" w14:textId="6983ECA3" w:rsidR="00AF5006" w:rsidRPr="00BE005D" w:rsidRDefault="00AF5006" w:rsidP="00AF5006">
      <w:pPr>
        <w:jc w:val="both"/>
        <w:rPr>
          <w:rFonts w:ascii="Arial" w:hAnsi="Arial" w:cs="Arial"/>
          <w:sz w:val="22"/>
          <w:szCs w:val="22"/>
          <w:lang w:val="en-US"/>
        </w:rPr>
      </w:pPr>
      <w:r w:rsidRPr="00BE005D">
        <w:rPr>
          <w:rFonts w:ascii="Arial" w:hAnsi="Arial" w:cs="Arial"/>
          <w:sz w:val="22"/>
          <w:szCs w:val="22"/>
          <w:lang w:val="en-US"/>
        </w:rPr>
        <w:t xml:space="preserve">Previous studies (Restrepo </w:t>
      </w:r>
      <w:r w:rsidRPr="00BE005D">
        <w:rPr>
          <w:rFonts w:ascii="Arial" w:hAnsi="Arial" w:cs="Arial"/>
          <w:i/>
          <w:sz w:val="22"/>
          <w:szCs w:val="22"/>
          <w:lang w:val="en-US"/>
        </w:rPr>
        <w:t>et al.</w:t>
      </w:r>
      <w:r w:rsidRPr="00BE005D">
        <w:rPr>
          <w:rFonts w:ascii="Arial" w:hAnsi="Arial" w:cs="Arial"/>
          <w:sz w:val="22"/>
          <w:szCs w:val="22"/>
          <w:lang w:val="en-US"/>
        </w:rPr>
        <w:t>, 2015) showed AIA values for isolates GIBI 025, 029 and strain ATCC of 17</w:t>
      </w:r>
      <w:r w:rsidR="00471FF3" w:rsidRPr="00BE005D">
        <w:rPr>
          <w:rFonts w:ascii="Arial" w:hAnsi="Arial" w:cs="Arial"/>
          <w:sz w:val="22"/>
          <w:szCs w:val="22"/>
          <w:lang w:val="en-US"/>
        </w:rPr>
        <w:t>,</w:t>
      </w:r>
      <w:r w:rsidRPr="00BE005D">
        <w:rPr>
          <w:rFonts w:ascii="Arial" w:hAnsi="Arial" w:cs="Arial"/>
          <w:sz w:val="22"/>
          <w:szCs w:val="22"/>
          <w:lang w:val="en-US"/>
        </w:rPr>
        <w:t>47, 78</w:t>
      </w:r>
      <w:r w:rsidR="00471FF3" w:rsidRPr="00BE005D">
        <w:rPr>
          <w:rFonts w:ascii="Arial" w:hAnsi="Arial" w:cs="Arial"/>
          <w:sz w:val="22"/>
          <w:szCs w:val="22"/>
          <w:lang w:val="en-US"/>
        </w:rPr>
        <w:t>,</w:t>
      </w:r>
      <w:r w:rsidRPr="00BE005D">
        <w:rPr>
          <w:rFonts w:ascii="Arial" w:hAnsi="Arial" w:cs="Arial"/>
          <w:sz w:val="22"/>
          <w:szCs w:val="22"/>
          <w:lang w:val="en-US"/>
        </w:rPr>
        <w:t>54 and 64</w:t>
      </w:r>
      <w:r w:rsidR="00471FF3" w:rsidRPr="00BE005D">
        <w:rPr>
          <w:rFonts w:ascii="Arial" w:hAnsi="Arial" w:cs="Arial"/>
          <w:sz w:val="22"/>
          <w:szCs w:val="22"/>
          <w:lang w:val="en-US"/>
        </w:rPr>
        <w:t>,</w:t>
      </w:r>
      <w:r w:rsidRPr="00BE005D">
        <w:rPr>
          <w:rFonts w:ascii="Arial" w:hAnsi="Arial" w:cs="Arial"/>
          <w:sz w:val="22"/>
          <w:szCs w:val="22"/>
          <w:lang w:val="en-US"/>
        </w:rPr>
        <w:t>28 µg/mL, respectively. These values, relative to the total mass of the plant, indicate that the lowest value reported of AIA reached by isolate GIBI025 is sufficient to promote growth of tomato seedlings, achieving the best values in the absence of P (0</w:t>
      </w:r>
      <w:r w:rsidR="00471FF3" w:rsidRPr="00BE005D">
        <w:rPr>
          <w:rFonts w:ascii="Arial" w:hAnsi="Arial" w:cs="Arial"/>
          <w:sz w:val="22"/>
          <w:szCs w:val="22"/>
          <w:lang w:val="en-US"/>
        </w:rPr>
        <w:t>,</w:t>
      </w:r>
      <w:r w:rsidRPr="00BE005D">
        <w:rPr>
          <w:rFonts w:ascii="Arial" w:hAnsi="Arial" w:cs="Arial"/>
          <w:sz w:val="22"/>
          <w:szCs w:val="22"/>
          <w:lang w:val="en-US"/>
        </w:rPr>
        <w:t xml:space="preserve">33 g / seedling). Sánchez </w:t>
      </w:r>
      <w:r w:rsidRPr="00BE005D">
        <w:rPr>
          <w:rFonts w:ascii="Arial" w:hAnsi="Arial" w:cs="Arial"/>
          <w:i/>
          <w:iCs/>
          <w:sz w:val="22"/>
          <w:szCs w:val="22"/>
          <w:lang w:val="en-US"/>
        </w:rPr>
        <w:t>et al</w:t>
      </w:r>
      <w:r w:rsidRPr="00BE005D">
        <w:rPr>
          <w:rFonts w:ascii="Arial" w:hAnsi="Arial" w:cs="Arial"/>
          <w:sz w:val="22"/>
          <w:szCs w:val="22"/>
          <w:lang w:val="en-US"/>
        </w:rPr>
        <w:t>.</w:t>
      </w:r>
      <w:r w:rsidR="00C10E47" w:rsidRPr="00BE005D">
        <w:rPr>
          <w:rFonts w:ascii="Arial" w:hAnsi="Arial" w:cs="Arial"/>
          <w:sz w:val="22"/>
          <w:szCs w:val="22"/>
          <w:lang w:val="en-US"/>
        </w:rPr>
        <w:t>,</w:t>
      </w:r>
      <w:r w:rsidRPr="00BE005D">
        <w:rPr>
          <w:rFonts w:ascii="Arial" w:hAnsi="Arial" w:cs="Arial"/>
          <w:sz w:val="22"/>
          <w:szCs w:val="22"/>
          <w:lang w:val="en-US"/>
        </w:rPr>
        <w:t xml:space="preserve"> (201</w:t>
      </w:r>
      <w:r w:rsidR="009A60EF" w:rsidRPr="00BE005D">
        <w:rPr>
          <w:rFonts w:ascii="Arial" w:hAnsi="Arial" w:cs="Arial"/>
          <w:sz w:val="22"/>
          <w:szCs w:val="22"/>
          <w:lang w:val="en-US"/>
        </w:rPr>
        <w:t>4</w:t>
      </w:r>
      <w:r w:rsidRPr="00BE005D">
        <w:rPr>
          <w:rFonts w:ascii="Arial" w:hAnsi="Arial" w:cs="Arial"/>
          <w:sz w:val="22"/>
          <w:szCs w:val="22"/>
          <w:lang w:val="en-US"/>
        </w:rPr>
        <w:t>) reported values between 18 and 25 µg/mL of total indole compounds, indicating that these levels may be considered as plant growth promoters. It is considered that high concentrations can inhibit the growth of seedlings, which may have occurred with bacteria GIBI029 and ATCC 49037, which showed the highest levels described above.</w:t>
      </w:r>
    </w:p>
    <w:p w14:paraId="501D9941" w14:textId="77777777" w:rsidR="00AF5006" w:rsidRPr="00BE005D" w:rsidRDefault="00AF5006" w:rsidP="00AF5006">
      <w:pPr>
        <w:jc w:val="both"/>
        <w:rPr>
          <w:rFonts w:ascii="Arial" w:hAnsi="Arial" w:cs="Arial"/>
          <w:sz w:val="22"/>
          <w:szCs w:val="22"/>
          <w:lang w:val="en-US"/>
        </w:rPr>
      </w:pPr>
    </w:p>
    <w:p w14:paraId="2C7716D4" w14:textId="7D120821" w:rsidR="00AF5006" w:rsidRPr="00BE005D" w:rsidRDefault="00AF5006" w:rsidP="00AF5006">
      <w:pPr>
        <w:jc w:val="both"/>
        <w:rPr>
          <w:rFonts w:ascii="Arial" w:hAnsi="Arial" w:cs="Arial"/>
          <w:sz w:val="22"/>
          <w:szCs w:val="22"/>
          <w:lang w:val="en-US"/>
        </w:rPr>
      </w:pPr>
      <w:r w:rsidRPr="00BE005D">
        <w:rPr>
          <w:rFonts w:ascii="Arial" w:hAnsi="Arial" w:cs="Arial"/>
          <w:sz w:val="22"/>
          <w:szCs w:val="22"/>
          <w:lang w:val="en-US"/>
        </w:rPr>
        <w:t xml:space="preserve">In the case of development variables associated with growth for variables </w:t>
      </w:r>
      <w:r w:rsidRPr="00BE005D">
        <w:rPr>
          <w:rFonts w:ascii="Arial" w:hAnsi="Arial" w:cs="Arial"/>
          <w:iCs/>
          <w:sz w:val="22"/>
          <w:szCs w:val="22"/>
          <w:lang w:val="en-US"/>
        </w:rPr>
        <w:t>appearance of cotyledons, first, second and third entirely deployed true leaves, it</w:t>
      </w:r>
      <w:r w:rsidRPr="00BE005D">
        <w:rPr>
          <w:rFonts w:ascii="Arial" w:hAnsi="Arial" w:cs="Arial"/>
          <w:sz w:val="22"/>
          <w:szCs w:val="22"/>
          <w:lang w:val="en-US"/>
        </w:rPr>
        <w:t xml:space="preserve"> was found that the absence of P in all cases causes a lengthening of the period in days for the organ to develop, with differences between 5 and 7 days in the absence of P. Isolate GIBI025 showed the best behavior reaching the shortest time in the absence of P, with no statistical differences (P &lt;0</w:t>
      </w:r>
      <w:r w:rsidR="00471FF3" w:rsidRPr="00BE005D">
        <w:rPr>
          <w:rFonts w:ascii="Arial" w:hAnsi="Arial" w:cs="Arial"/>
          <w:sz w:val="22"/>
          <w:szCs w:val="22"/>
          <w:lang w:val="en-US"/>
        </w:rPr>
        <w:t>,</w:t>
      </w:r>
      <w:r w:rsidRPr="00BE005D">
        <w:rPr>
          <w:rFonts w:ascii="Arial" w:hAnsi="Arial" w:cs="Arial"/>
          <w:sz w:val="22"/>
          <w:szCs w:val="22"/>
          <w:lang w:val="en-US"/>
        </w:rPr>
        <w:t xml:space="preserve">05) compared to the treatments with addition of P, reaching a shortening in the period of development in each stage between 5 and 7 days, equivalent to a reduction between 16 and 20% of the time in the stage of development of the tomato seedling in the conditions of the evaluation (38 days). The trend in development for variable </w:t>
      </w:r>
      <w:r w:rsidRPr="00BE005D">
        <w:rPr>
          <w:rFonts w:ascii="Arial" w:hAnsi="Arial" w:cs="Arial"/>
          <w:iCs/>
          <w:sz w:val="22"/>
          <w:szCs w:val="22"/>
          <w:lang w:val="en-US"/>
        </w:rPr>
        <w:t>height to cotyledons over time</w:t>
      </w:r>
      <w:r w:rsidRPr="00BE005D">
        <w:rPr>
          <w:rFonts w:ascii="Arial" w:hAnsi="Arial" w:cs="Arial"/>
          <w:sz w:val="22"/>
          <w:szCs w:val="22"/>
          <w:lang w:val="en-US"/>
        </w:rPr>
        <w:t xml:space="preserve"> (20 to 38 dap) remains as in the previous case. The best values are reached in treatments with the presence of P in contrast to treatments without addition of this element, except the case of isolate GIBI 025, which retains the positive effect even in the absence of P, evidencing the promising activity of this isolate as plant growth promoter.</w:t>
      </w:r>
    </w:p>
    <w:p w14:paraId="58937ABC" w14:textId="77777777" w:rsidR="000F1BD1" w:rsidRPr="00BE005D" w:rsidRDefault="000F1BD1" w:rsidP="00AF5006">
      <w:pPr>
        <w:jc w:val="both"/>
        <w:rPr>
          <w:rFonts w:ascii="Arial" w:hAnsi="Arial" w:cs="Arial"/>
          <w:sz w:val="22"/>
          <w:szCs w:val="22"/>
          <w:lang w:val="en-US"/>
        </w:rPr>
      </w:pPr>
    </w:p>
    <w:p w14:paraId="6FB3839A" w14:textId="54D7D8CD" w:rsidR="00AF5006" w:rsidRPr="00BE005D" w:rsidRDefault="001B5BF0" w:rsidP="00AF5006">
      <w:pPr>
        <w:jc w:val="both"/>
        <w:rPr>
          <w:rFonts w:ascii="Arial" w:hAnsi="Arial" w:cs="Arial"/>
          <w:sz w:val="22"/>
          <w:szCs w:val="22"/>
          <w:lang w:val="en-US"/>
        </w:rPr>
      </w:pPr>
      <w:r w:rsidRPr="00BE005D">
        <w:rPr>
          <w:rFonts w:ascii="Arial" w:hAnsi="Arial" w:cs="Arial"/>
          <w:sz w:val="22"/>
          <w:szCs w:val="22"/>
          <w:lang w:val="en-US"/>
        </w:rPr>
        <w:lastRenderedPageBreak/>
        <w:t>Yadav</w:t>
      </w:r>
      <w:r w:rsidR="00EE4138" w:rsidRPr="00BE005D">
        <w:rPr>
          <w:rFonts w:ascii="Arial" w:hAnsi="Arial" w:cs="Arial"/>
          <w:sz w:val="22"/>
          <w:szCs w:val="22"/>
          <w:lang w:val="en-US"/>
        </w:rPr>
        <w:t xml:space="preserve"> </w:t>
      </w:r>
      <w:r w:rsidR="00EE4138" w:rsidRPr="00BE005D">
        <w:rPr>
          <w:rFonts w:ascii="Arial" w:hAnsi="Arial" w:cs="Arial"/>
          <w:i/>
          <w:iCs/>
          <w:sz w:val="22"/>
          <w:szCs w:val="22"/>
          <w:lang w:val="en-US"/>
        </w:rPr>
        <w:t>et al</w:t>
      </w:r>
      <w:r w:rsidR="00EE4138" w:rsidRPr="00BE005D">
        <w:rPr>
          <w:rFonts w:ascii="Arial" w:hAnsi="Arial" w:cs="Arial"/>
          <w:sz w:val="22"/>
          <w:szCs w:val="22"/>
          <w:lang w:val="en-US"/>
        </w:rPr>
        <w:t>.,</w:t>
      </w:r>
      <w:r w:rsidR="00AF5006" w:rsidRPr="00BE005D">
        <w:rPr>
          <w:rFonts w:ascii="Arial" w:hAnsi="Arial" w:cs="Arial"/>
          <w:sz w:val="22"/>
          <w:szCs w:val="22"/>
          <w:lang w:val="en-US"/>
        </w:rPr>
        <w:t xml:space="preserve"> (</w:t>
      </w:r>
      <w:r w:rsidR="00EE4138" w:rsidRPr="00BE005D">
        <w:rPr>
          <w:rFonts w:ascii="Arial" w:hAnsi="Arial" w:cs="Arial"/>
          <w:sz w:val="22"/>
          <w:szCs w:val="22"/>
          <w:lang w:val="en-US"/>
        </w:rPr>
        <w:t>20</w:t>
      </w:r>
      <w:r w:rsidRPr="00BE005D">
        <w:rPr>
          <w:rFonts w:ascii="Arial" w:hAnsi="Arial" w:cs="Arial"/>
          <w:sz w:val="22"/>
          <w:szCs w:val="22"/>
          <w:lang w:val="en-US"/>
        </w:rPr>
        <w:t>21</w:t>
      </w:r>
      <w:r w:rsidR="00AF5006" w:rsidRPr="00BE005D">
        <w:rPr>
          <w:rFonts w:ascii="Arial" w:hAnsi="Arial" w:cs="Arial"/>
          <w:sz w:val="22"/>
          <w:szCs w:val="22"/>
          <w:lang w:val="en-US"/>
        </w:rPr>
        <w:t>) described the importance of nutrients in plants as and their feature as essential elements because they cannot be replaced by others in function and their absence generates a delay in the normal development of the plant. This explains the behavior of the absolute control in contrast to the other treatments; it is also an indication of microbial activity and the ability to mobilize and solubilize soil phosphate, which resulted in the differential development of seedlings in the treatments with different isolates in the absence of fertilizer. It is important to highlight the fact that the phosphorus fertilizers applied in this study were highly soluble, making them bioavailable, and plant roots can capture them immediately. The process of microbial solubilization of P is a phenomenon that depends on various microbial metabolic mechanisms, and the release of the metabolites involved takes some time to take place. Despite this, isolate GIBI025 appears to be a bacterium with greater efficiency and speed to solubilize the P. However, other experiments should be developed to test this hypothesis.</w:t>
      </w:r>
    </w:p>
    <w:p w14:paraId="02722BA0" w14:textId="77777777" w:rsidR="000F1BD1" w:rsidRPr="00BE005D" w:rsidRDefault="000F1BD1" w:rsidP="00AF5006">
      <w:pPr>
        <w:jc w:val="both"/>
        <w:rPr>
          <w:rFonts w:ascii="Arial" w:hAnsi="Arial" w:cs="Arial"/>
          <w:sz w:val="22"/>
          <w:szCs w:val="22"/>
          <w:lang w:val="en-US"/>
        </w:rPr>
      </w:pPr>
    </w:p>
    <w:p w14:paraId="54CC9AD0" w14:textId="71004016" w:rsidR="00AF5006" w:rsidRPr="00BE005D" w:rsidRDefault="00AF5006" w:rsidP="00AF5006">
      <w:pPr>
        <w:jc w:val="both"/>
        <w:rPr>
          <w:rFonts w:ascii="Arial" w:hAnsi="Arial" w:cs="Arial"/>
          <w:sz w:val="22"/>
          <w:szCs w:val="22"/>
          <w:lang w:val="en-US"/>
        </w:rPr>
      </w:pPr>
      <w:r w:rsidRPr="00BE005D">
        <w:rPr>
          <w:rFonts w:ascii="Arial" w:hAnsi="Arial" w:cs="Arial"/>
          <w:sz w:val="22"/>
          <w:szCs w:val="22"/>
          <w:lang w:val="en-US"/>
        </w:rPr>
        <w:t xml:space="preserve">It was also noted that all isolates and the type strain improved the height reached by the cotyledons on days 20, 22, 24 and 38, reaching significant differences with respect to the absolute control. Isolate GIBI025 caused a statistical difference comparable or even superior in the abovementioned variables versus the agronomic control (Table 2). This could be demonstrating synergistic activity of Plant Growth Promoting Bacteria both as phosphate solubilizing and in the production of growth regulators such as auxins, gibberellins and </w:t>
      </w:r>
      <w:proofErr w:type="spellStart"/>
      <w:r w:rsidRPr="00BE005D">
        <w:rPr>
          <w:rFonts w:ascii="Arial" w:hAnsi="Arial" w:cs="Arial"/>
          <w:sz w:val="22"/>
          <w:szCs w:val="22"/>
          <w:lang w:val="en-US"/>
        </w:rPr>
        <w:t>cytokinins</w:t>
      </w:r>
      <w:proofErr w:type="spellEnd"/>
      <w:r w:rsidRPr="00BE005D">
        <w:rPr>
          <w:rFonts w:ascii="Arial" w:hAnsi="Arial" w:cs="Arial"/>
          <w:sz w:val="22"/>
          <w:szCs w:val="22"/>
          <w:lang w:val="en-US"/>
        </w:rPr>
        <w:t xml:space="preserve"> - which have an effect on the elongation of the meristem tissues of plants – since, if the results were similar to the agronomic control, this would evidence only an effect of the bacterium as P solubilizing.</w:t>
      </w:r>
    </w:p>
    <w:p w14:paraId="31A77738" w14:textId="77777777" w:rsidR="000F1BD1" w:rsidRPr="00BE005D" w:rsidRDefault="000F1BD1" w:rsidP="00AF5006">
      <w:pPr>
        <w:jc w:val="both"/>
        <w:rPr>
          <w:rFonts w:ascii="Arial" w:hAnsi="Arial" w:cs="Arial"/>
          <w:sz w:val="22"/>
          <w:szCs w:val="22"/>
          <w:lang w:val="en-US"/>
        </w:rPr>
      </w:pPr>
    </w:p>
    <w:p w14:paraId="485BFEBF" w14:textId="77777777" w:rsidR="00AF5006" w:rsidRPr="00BE005D" w:rsidRDefault="00AF5006" w:rsidP="00AF5006">
      <w:pPr>
        <w:jc w:val="both"/>
        <w:rPr>
          <w:rFonts w:ascii="Arial" w:hAnsi="Arial" w:cs="Arial"/>
          <w:sz w:val="22"/>
          <w:szCs w:val="22"/>
          <w:lang w:val="en-US"/>
        </w:rPr>
      </w:pPr>
      <w:r w:rsidRPr="00BE005D">
        <w:rPr>
          <w:rFonts w:ascii="Arial" w:hAnsi="Arial" w:cs="Arial"/>
          <w:sz w:val="22"/>
          <w:szCs w:val="22"/>
          <w:lang w:val="en-US"/>
        </w:rPr>
        <w:t>Only native isolates GIBI025 and GIBI029 significantly increased the fresh weight of the different parts of the seedling. It is worth mentioning that isolate GIBI025 significantly improved the different variables related to plant growth promotion evaluated similarly or even higher than when the bacterium was used in the company of phosphorus fertilizer (Table 2).</w:t>
      </w:r>
    </w:p>
    <w:p w14:paraId="3DA74139" w14:textId="77777777" w:rsidR="00AF5006" w:rsidRPr="00BE005D" w:rsidRDefault="00AF5006" w:rsidP="00AF5006">
      <w:pPr>
        <w:jc w:val="both"/>
        <w:rPr>
          <w:rFonts w:ascii="Arial" w:hAnsi="Arial" w:cs="Arial"/>
          <w:sz w:val="22"/>
          <w:szCs w:val="22"/>
          <w:lang w:val="en-US"/>
        </w:rPr>
      </w:pPr>
    </w:p>
    <w:p w14:paraId="0C9F362C" w14:textId="2455692B" w:rsidR="00EC150D" w:rsidRPr="00BE005D" w:rsidRDefault="00AF5006" w:rsidP="00EC150D">
      <w:pPr>
        <w:jc w:val="both"/>
        <w:rPr>
          <w:rFonts w:ascii="Arial" w:hAnsi="Arial" w:cs="Arial"/>
          <w:sz w:val="22"/>
          <w:szCs w:val="22"/>
          <w:lang w:val="en-US"/>
        </w:rPr>
      </w:pPr>
      <w:r w:rsidRPr="00BE005D">
        <w:rPr>
          <w:rFonts w:ascii="Arial" w:hAnsi="Arial" w:cs="Arial"/>
          <w:sz w:val="22"/>
          <w:szCs w:val="22"/>
          <w:lang w:val="en-US"/>
        </w:rPr>
        <w:t xml:space="preserve">Different studies have reported that phosphate solubilizing microorganisms can improve the growth and production of different crops of economic interest. </w:t>
      </w:r>
      <w:r w:rsidR="00935FFA" w:rsidRPr="00BE005D">
        <w:rPr>
          <w:rFonts w:ascii="Arial" w:hAnsi="Arial" w:cs="Arial"/>
          <w:sz w:val="22"/>
          <w:szCs w:val="22"/>
          <w:lang w:val="en-US"/>
        </w:rPr>
        <w:t xml:space="preserve">Blanco-Vargas </w:t>
      </w:r>
      <w:r w:rsidR="00935FFA" w:rsidRPr="00BE005D">
        <w:rPr>
          <w:rFonts w:ascii="Arial" w:hAnsi="Arial" w:cs="Arial"/>
          <w:i/>
          <w:iCs/>
          <w:sz w:val="22"/>
          <w:szCs w:val="22"/>
          <w:lang w:val="en-US"/>
        </w:rPr>
        <w:t>et al</w:t>
      </w:r>
      <w:r w:rsidR="00935FFA" w:rsidRPr="00BE005D">
        <w:rPr>
          <w:rFonts w:ascii="Arial" w:hAnsi="Arial" w:cs="Arial"/>
          <w:sz w:val="22"/>
          <w:szCs w:val="22"/>
          <w:lang w:val="en-US"/>
        </w:rPr>
        <w:t xml:space="preserve">., (2020) </w:t>
      </w:r>
      <w:r w:rsidR="00CD159E" w:rsidRPr="00BE005D">
        <w:rPr>
          <w:rFonts w:ascii="Arial" w:hAnsi="Arial" w:cs="Arial"/>
          <w:sz w:val="22"/>
          <w:szCs w:val="22"/>
          <w:lang w:val="en-US"/>
        </w:rPr>
        <w:t>isolated</w:t>
      </w:r>
      <w:r w:rsidR="00935FFA" w:rsidRPr="00BE005D">
        <w:rPr>
          <w:rFonts w:ascii="Arial" w:hAnsi="Arial" w:cs="Arial"/>
          <w:sz w:val="22"/>
          <w:szCs w:val="22"/>
          <w:lang w:val="en-US"/>
        </w:rPr>
        <w:t xml:space="preserve"> </w:t>
      </w:r>
      <w:r w:rsidR="00572A40" w:rsidRPr="00BE005D">
        <w:rPr>
          <w:rFonts w:ascii="Arial" w:hAnsi="Arial" w:cs="Arial"/>
          <w:i/>
          <w:iCs/>
          <w:sz w:val="22"/>
          <w:szCs w:val="22"/>
          <w:lang w:val="en-US"/>
        </w:rPr>
        <w:t>Pseudomonas</w:t>
      </w:r>
      <w:r w:rsidR="00572A40" w:rsidRPr="00BE005D">
        <w:rPr>
          <w:rFonts w:ascii="Arial" w:hAnsi="Arial" w:cs="Arial"/>
          <w:sz w:val="22"/>
          <w:szCs w:val="22"/>
          <w:lang w:val="en-US"/>
        </w:rPr>
        <w:t> sp., (A18) and </w:t>
      </w:r>
      <w:r w:rsidR="00572A40" w:rsidRPr="00BE005D">
        <w:rPr>
          <w:rFonts w:ascii="Arial" w:hAnsi="Arial" w:cs="Arial"/>
          <w:i/>
          <w:iCs/>
          <w:sz w:val="22"/>
          <w:szCs w:val="22"/>
          <w:lang w:val="en-US"/>
        </w:rPr>
        <w:t>Serratia</w:t>
      </w:r>
      <w:r w:rsidR="00572A40" w:rsidRPr="00BE005D">
        <w:rPr>
          <w:rFonts w:ascii="Arial" w:hAnsi="Arial" w:cs="Arial"/>
          <w:sz w:val="22"/>
          <w:szCs w:val="22"/>
          <w:lang w:val="en-US"/>
        </w:rPr>
        <w:t> sp., (C7) from soils at the “</w:t>
      </w:r>
      <w:proofErr w:type="spellStart"/>
      <w:r w:rsidR="00572A40" w:rsidRPr="00BE005D">
        <w:rPr>
          <w:rFonts w:ascii="Arial" w:hAnsi="Arial" w:cs="Arial"/>
          <w:i/>
          <w:iCs/>
          <w:sz w:val="22"/>
          <w:szCs w:val="22"/>
          <w:lang w:val="en-US"/>
        </w:rPr>
        <w:t>Departamento</w:t>
      </w:r>
      <w:proofErr w:type="spellEnd"/>
      <w:r w:rsidR="00572A40" w:rsidRPr="00BE005D">
        <w:rPr>
          <w:rFonts w:ascii="Arial" w:hAnsi="Arial" w:cs="Arial"/>
          <w:i/>
          <w:iCs/>
          <w:sz w:val="22"/>
          <w:szCs w:val="22"/>
          <w:lang w:val="en-US"/>
        </w:rPr>
        <w:t xml:space="preserve"> de Boyacá</w:t>
      </w:r>
      <w:r w:rsidR="00572A40" w:rsidRPr="00BE005D">
        <w:rPr>
          <w:rFonts w:ascii="Arial" w:hAnsi="Arial" w:cs="Arial"/>
          <w:sz w:val="22"/>
          <w:szCs w:val="22"/>
          <w:lang w:val="en-US"/>
        </w:rPr>
        <w:t>” Colombia, where </w:t>
      </w:r>
      <w:r w:rsidR="00572A40" w:rsidRPr="00BE005D">
        <w:rPr>
          <w:rFonts w:ascii="Arial" w:hAnsi="Arial" w:cs="Arial"/>
          <w:i/>
          <w:iCs/>
          <w:sz w:val="22"/>
          <w:szCs w:val="22"/>
          <w:lang w:val="en-US"/>
        </w:rPr>
        <w:t>Allium cepa</w:t>
      </w:r>
      <w:r w:rsidR="00572A40" w:rsidRPr="00BE005D">
        <w:rPr>
          <w:rFonts w:ascii="Arial" w:hAnsi="Arial" w:cs="Arial"/>
          <w:sz w:val="22"/>
          <w:szCs w:val="22"/>
          <w:lang w:val="en-US"/>
        </w:rPr>
        <w:t> is cultivated. Bacteria were cultured in MT11B media and evaluated as a bio-fertilizer for </w:t>
      </w:r>
      <w:r w:rsidR="00572A40" w:rsidRPr="00BE005D">
        <w:rPr>
          <w:rFonts w:ascii="Arial" w:hAnsi="Arial" w:cs="Arial"/>
          <w:i/>
          <w:iCs/>
          <w:sz w:val="22"/>
          <w:szCs w:val="22"/>
          <w:lang w:val="en-US"/>
        </w:rPr>
        <w:t>A. cepa</w:t>
      </w:r>
      <w:r w:rsidR="00572A40" w:rsidRPr="00BE005D">
        <w:rPr>
          <w:rFonts w:ascii="Arial" w:hAnsi="Arial" w:cs="Arial"/>
          <w:sz w:val="22"/>
          <w:szCs w:val="22"/>
          <w:lang w:val="en-US"/>
        </w:rPr>
        <w:t xml:space="preserve"> germination and growth during </w:t>
      </w:r>
      <w:proofErr w:type="spellStart"/>
      <w:r w:rsidR="00572A40" w:rsidRPr="00BE005D">
        <w:rPr>
          <w:rFonts w:ascii="Arial" w:hAnsi="Arial" w:cs="Arial"/>
          <w:sz w:val="22"/>
          <w:szCs w:val="22"/>
          <w:lang w:val="en-US"/>
        </w:rPr>
        <w:t>two</w:t>
      </w:r>
      <w:proofErr w:type="spellEnd"/>
      <w:r w:rsidR="00572A40" w:rsidRPr="00BE005D">
        <w:rPr>
          <w:rFonts w:ascii="Arial" w:hAnsi="Arial" w:cs="Arial"/>
          <w:sz w:val="22"/>
          <w:szCs w:val="22"/>
          <w:lang w:val="en-US"/>
        </w:rPr>
        <w:t xml:space="preserve"> </w:t>
      </w:r>
      <w:proofErr w:type="spellStart"/>
      <w:r w:rsidR="00572A40" w:rsidRPr="00BE005D">
        <w:rPr>
          <w:rFonts w:ascii="Arial" w:hAnsi="Arial" w:cs="Arial"/>
          <w:sz w:val="22"/>
          <w:szCs w:val="22"/>
          <w:lang w:val="en-US"/>
        </w:rPr>
        <w:t>months</w:t>
      </w:r>
      <w:proofErr w:type="spellEnd"/>
      <w:r w:rsidR="00572A40" w:rsidRPr="00BE005D">
        <w:rPr>
          <w:rFonts w:ascii="Arial" w:hAnsi="Arial" w:cs="Arial"/>
          <w:sz w:val="22"/>
          <w:szCs w:val="22"/>
          <w:lang w:val="en-US"/>
        </w:rPr>
        <w:t xml:space="preserve"> at greenhouse scale</w:t>
      </w:r>
      <w:r w:rsidR="00742263" w:rsidRPr="00BE005D">
        <w:rPr>
          <w:rFonts w:ascii="Arial" w:hAnsi="Arial" w:cs="Arial"/>
          <w:sz w:val="22"/>
          <w:szCs w:val="22"/>
          <w:lang w:val="en-US"/>
        </w:rPr>
        <w:t xml:space="preserve">. </w:t>
      </w:r>
      <w:r w:rsidR="00BA0392" w:rsidRPr="00BE005D">
        <w:rPr>
          <w:rFonts w:ascii="Arial" w:hAnsi="Arial" w:cs="Arial"/>
          <w:color w:val="000000" w:themeColor="text1"/>
          <w:sz w:val="22"/>
          <w:szCs w:val="22"/>
          <w:lang w:val="en-US"/>
        </w:rPr>
        <w:t>In MT11B media growth curve (12 h) demonstrated that co-culture can grow in the presence of PR</w:t>
      </w:r>
      <w:r w:rsidR="00EB7C33" w:rsidRPr="00BE005D">
        <w:rPr>
          <w:rFonts w:ascii="Arial" w:hAnsi="Arial" w:cs="Arial"/>
          <w:color w:val="000000" w:themeColor="text1"/>
          <w:sz w:val="22"/>
          <w:szCs w:val="22"/>
          <w:lang w:val="en-US"/>
        </w:rPr>
        <w:t xml:space="preserve"> (as a inorganic source of phosphorus)</w:t>
      </w:r>
      <w:r w:rsidR="00BA0392" w:rsidRPr="00BE005D">
        <w:rPr>
          <w:rFonts w:ascii="Arial" w:hAnsi="Arial" w:cs="Arial"/>
          <w:color w:val="000000" w:themeColor="text1"/>
          <w:sz w:val="22"/>
          <w:szCs w:val="22"/>
          <w:lang w:val="en-US"/>
        </w:rPr>
        <w:t xml:space="preserve"> and glucose concentrations 7</w:t>
      </w:r>
      <w:r w:rsidR="00935FFA" w:rsidRPr="00BE005D">
        <w:rPr>
          <w:rFonts w:ascii="Arial" w:hAnsi="Arial" w:cs="Arial"/>
          <w:color w:val="000000" w:themeColor="text1"/>
          <w:sz w:val="22"/>
          <w:szCs w:val="22"/>
          <w:lang w:val="en-US"/>
        </w:rPr>
        <w:t>,</w:t>
      </w:r>
      <w:r w:rsidR="00BA0392" w:rsidRPr="00BE005D">
        <w:rPr>
          <w:rFonts w:ascii="Arial" w:hAnsi="Arial" w:cs="Arial"/>
          <w:color w:val="000000" w:themeColor="text1"/>
          <w:sz w:val="22"/>
          <w:szCs w:val="22"/>
          <w:lang w:val="en-US"/>
        </w:rPr>
        <w:t>5-fold, lower than in SMRS1 media and brewer's yeast hydrolysate; producing phosphatase enzymes with a volumetric activity of 1</w:t>
      </w:r>
      <w:r w:rsidR="00935FFA" w:rsidRPr="00BE005D">
        <w:rPr>
          <w:rFonts w:ascii="Arial" w:hAnsi="Arial" w:cs="Arial"/>
          <w:color w:val="000000" w:themeColor="text1"/>
          <w:sz w:val="22"/>
          <w:szCs w:val="22"/>
          <w:lang w:val="en-US"/>
        </w:rPr>
        <w:t>,</w:t>
      </w:r>
      <w:r w:rsidR="00BA0392" w:rsidRPr="00BE005D">
        <w:rPr>
          <w:rFonts w:ascii="Arial" w:hAnsi="Arial" w:cs="Arial"/>
          <w:color w:val="000000" w:themeColor="text1"/>
          <w:sz w:val="22"/>
          <w:szCs w:val="22"/>
          <w:lang w:val="en-US"/>
        </w:rPr>
        <w:t>3 ± 0</w:t>
      </w:r>
      <w:r w:rsidR="00935FFA" w:rsidRPr="00BE005D">
        <w:rPr>
          <w:rFonts w:ascii="Arial" w:hAnsi="Arial" w:cs="Arial"/>
          <w:color w:val="000000" w:themeColor="text1"/>
          <w:sz w:val="22"/>
          <w:szCs w:val="22"/>
          <w:lang w:val="en-US"/>
        </w:rPr>
        <w:t>,</w:t>
      </w:r>
      <w:r w:rsidR="00BA0392" w:rsidRPr="00BE005D">
        <w:rPr>
          <w:rFonts w:ascii="Arial" w:hAnsi="Arial" w:cs="Arial"/>
          <w:color w:val="000000" w:themeColor="text1"/>
          <w:sz w:val="22"/>
          <w:szCs w:val="22"/>
          <w:lang w:val="en-US"/>
        </w:rPr>
        <w:t>03 PU at 6 h of culture and 0</w:t>
      </w:r>
      <w:r w:rsidR="00935FFA" w:rsidRPr="00BE005D">
        <w:rPr>
          <w:rFonts w:ascii="Arial" w:hAnsi="Arial" w:cs="Arial"/>
          <w:color w:val="000000" w:themeColor="text1"/>
          <w:sz w:val="22"/>
          <w:szCs w:val="22"/>
          <w:lang w:val="en-US"/>
        </w:rPr>
        <w:t>,</w:t>
      </w:r>
      <w:r w:rsidR="00BA0392" w:rsidRPr="00BE005D">
        <w:rPr>
          <w:rFonts w:ascii="Arial" w:hAnsi="Arial" w:cs="Arial"/>
          <w:color w:val="000000" w:themeColor="text1"/>
          <w:sz w:val="22"/>
          <w:szCs w:val="22"/>
          <w:lang w:val="en-US"/>
        </w:rPr>
        <w:t>8 ± 0</w:t>
      </w:r>
      <w:r w:rsidR="00935FFA" w:rsidRPr="00BE005D">
        <w:rPr>
          <w:rFonts w:ascii="Arial" w:hAnsi="Arial" w:cs="Arial"/>
          <w:color w:val="000000" w:themeColor="text1"/>
          <w:sz w:val="22"/>
          <w:szCs w:val="22"/>
          <w:lang w:val="en-US"/>
        </w:rPr>
        <w:t>,</w:t>
      </w:r>
      <w:r w:rsidR="00BA0392" w:rsidRPr="00BE005D">
        <w:rPr>
          <w:rFonts w:ascii="Arial" w:hAnsi="Arial" w:cs="Arial"/>
          <w:color w:val="000000" w:themeColor="text1"/>
          <w:sz w:val="22"/>
          <w:szCs w:val="22"/>
          <w:lang w:val="en-US"/>
        </w:rPr>
        <w:t>04 PU at 12 h. Moreover, co-culture released soluble phosphorus at a rate of 58</w:t>
      </w:r>
      <w:r w:rsidR="00935FFA" w:rsidRPr="00BE005D">
        <w:rPr>
          <w:rFonts w:ascii="Arial" w:hAnsi="Arial" w:cs="Arial"/>
          <w:color w:val="000000" w:themeColor="text1"/>
          <w:sz w:val="22"/>
          <w:szCs w:val="22"/>
          <w:lang w:val="en-US"/>
        </w:rPr>
        <w:t>,</w:t>
      </w:r>
      <w:r w:rsidR="00BA0392" w:rsidRPr="00BE005D">
        <w:rPr>
          <w:rFonts w:ascii="Arial" w:hAnsi="Arial" w:cs="Arial"/>
          <w:color w:val="000000" w:themeColor="text1"/>
          <w:sz w:val="22"/>
          <w:szCs w:val="22"/>
          <w:lang w:val="en-US"/>
        </w:rPr>
        <w:t>1 ± 0</w:t>
      </w:r>
      <w:r w:rsidR="00935FFA" w:rsidRPr="00BE005D">
        <w:rPr>
          <w:rFonts w:ascii="Arial" w:hAnsi="Arial" w:cs="Arial"/>
          <w:color w:val="000000" w:themeColor="text1"/>
          <w:sz w:val="22"/>
          <w:szCs w:val="22"/>
          <w:lang w:val="en-US"/>
        </w:rPr>
        <w:t>,</w:t>
      </w:r>
      <w:r w:rsidR="00BA0392" w:rsidRPr="00BE005D">
        <w:rPr>
          <w:rFonts w:ascii="Arial" w:hAnsi="Arial" w:cs="Arial"/>
          <w:color w:val="000000" w:themeColor="text1"/>
          <w:sz w:val="22"/>
          <w:szCs w:val="22"/>
          <w:lang w:val="en-US"/>
        </w:rPr>
        <w:t>28 mg L</w:t>
      </w:r>
      <w:r w:rsidR="00BA0392" w:rsidRPr="00BE005D">
        <w:rPr>
          <w:rFonts w:ascii="Arial" w:hAnsi="Arial" w:cs="Arial"/>
          <w:color w:val="000000" w:themeColor="text1"/>
          <w:sz w:val="22"/>
          <w:szCs w:val="22"/>
          <w:vertAlign w:val="superscript"/>
          <w:lang w:val="en-US"/>
        </w:rPr>
        <w:t>−1</w:t>
      </w:r>
      <w:r w:rsidR="00BA0392" w:rsidRPr="00BE005D">
        <w:rPr>
          <w:rStyle w:val="apple-converted-space"/>
          <w:rFonts w:ascii="Arial" w:hAnsi="Arial" w:cs="Arial"/>
          <w:color w:val="000000" w:themeColor="text1"/>
          <w:sz w:val="22"/>
          <w:szCs w:val="22"/>
          <w:lang w:val="en-US"/>
        </w:rPr>
        <w:t> </w:t>
      </w:r>
      <w:r w:rsidR="00BA0392" w:rsidRPr="00BE005D">
        <w:rPr>
          <w:rFonts w:ascii="Arial" w:hAnsi="Arial" w:cs="Arial"/>
          <w:color w:val="000000" w:themeColor="text1"/>
          <w:sz w:val="22"/>
          <w:szCs w:val="22"/>
          <w:lang w:val="en-US"/>
        </w:rPr>
        <w:t>at 8 h and 88</w:t>
      </w:r>
      <w:r w:rsidR="00935FFA" w:rsidRPr="00BE005D">
        <w:rPr>
          <w:rFonts w:ascii="Arial" w:hAnsi="Arial" w:cs="Arial"/>
          <w:color w:val="000000" w:themeColor="text1"/>
          <w:sz w:val="22"/>
          <w:szCs w:val="22"/>
          <w:lang w:val="en-US"/>
        </w:rPr>
        <w:t>,</w:t>
      </w:r>
      <w:r w:rsidR="00BA0392" w:rsidRPr="00BE005D">
        <w:rPr>
          <w:rFonts w:ascii="Arial" w:hAnsi="Arial" w:cs="Arial"/>
          <w:color w:val="000000" w:themeColor="text1"/>
          <w:sz w:val="22"/>
          <w:szCs w:val="22"/>
          <w:lang w:val="en-US"/>
        </w:rPr>
        <w:t>1 ± 0.32 mg L</w:t>
      </w:r>
      <w:r w:rsidR="00BA0392" w:rsidRPr="00BE005D">
        <w:rPr>
          <w:rFonts w:ascii="Arial" w:hAnsi="Arial" w:cs="Arial"/>
          <w:color w:val="000000" w:themeColor="text1"/>
          <w:sz w:val="22"/>
          <w:szCs w:val="22"/>
          <w:vertAlign w:val="superscript"/>
          <w:lang w:val="en-US"/>
        </w:rPr>
        <w:t>−1</w:t>
      </w:r>
      <w:r w:rsidR="00BA0392" w:rsidRPr="00BE005D">
        <w:rPr>
          <w:rStyle w:val="apple-converted-space"/>
          <w:rFonts w:ascii="Arial" w:hAnsi="Arial" w:cs="Arial"/>
          <w:color w:val="000000" w:themeColor="text1"/>
          <w:sz w:val="22"/>
          <w:szCs w:val="22"/>
          <w:lang w:val="en-US"/>
        </w:rPr>
        <w:t> </w:t>
      </w:r>
      <w:r w:rsidR="00BA0392" w:rsidRPr="00BE005D">
        <w:rPr>
          <w:rFonts w:ascii="Arial" w:hAnsi="Arial" w:cs="Arial"/>
          <w:color w:val="000000" w:themeColor="text1"/>
          <w:sz w:val="22"/>
          <w:szCs w:val="22"/>
          <w:lang w:val="en-US"/>
        </w:rPr>
        <w:t>at 12 h.</w:t>
      </w:r>
      <w:r w:rsidR="00BA0392" w:rsidRPr="00BE005D">
        <w:rPr>
          <w:rStyle w:val="apple-converted-space"/>
          <w:rFonts w:ascii="Arial" w:hAnsi="Arial" w:cs="Arial"/>
          <w:color w:val="000000" w:themeColor="text1"/>
          <w:sz w:val="22"/>
          <w:szCs w:val="22"/>
          <w:lang w:val="en-US"/>
        </w:rPr>
        <w:t> </w:t>
      </w:r>
      <w:r w:rsidR="00326C81" w:rsidRPr="00BE005D">
        <w:rPr>
          <w:rFonts w:ascii="Arial" w:hAnsi="Arial" w:cs="Arial"/>
          <w:sz w:val="22"/>
          <w:szCs w:val="22"/>
          <w:lang w:val="en-US"/>
        </w:rPr>
        <w:t xml:space="preserve"> </w:t>
      </w:r>
      <w:proofErr w:type="spellStart"/>
      <w:r w:rsidR="00A87F8D" w:rsidRPr="00BE005D">
        <w:rPr>
          <w:rFonts w:ascii="Arial" w:hAnsi="Arial" w:cs="Arial"/>
          <w:color w:val="000000" w:themeColor="text1"/>
          <w:sz w:val="22"/>
          <w:szCs w:val="22"/>
          <w:shd w:val="clear" w:color="auto" w:fill="FFFFFF"/>
          <w:lang w:val="en-US"/>
        </w:rPr>
        <w:t>Elhaissoufi</w:t>
      </w:r>
      <w:proofErr w:type="spellEnd"/>
      <w:r w:rsidR="00A87F8D" w:rsidRPr="00BE005D">
        <w:rPr>
          <w:rFonts w:ascii="Arial" w:hAnsi="Arial" w:cs="Arial"/>
          <w:color w:val="000000" w:themeColor="text1"/>
          <w:sz w:val="22"/>
          <w:szCs w:val="22"/>
          <w:shd w:val="clear" w:color="auto" w:fill="FFFFFF"/>
          <w:lang w:val="en-US"/>
        </w:rPr>
        <w:t xml:space="preserve"> </w:t>
      </w:r>
      <w:r w:rsidR="00A87F8D" w:rsidRPr="00BE005D">
        <w:rPr>
          <w:rFonts w:ascii="Arial" w:hAnsi="Arial" w:cs="Arial"/>
          <w:i/>
          <w:iCs/>
          <w:color w:val="000000" w:themeColor="text1"/>
          <w:sz w:val="22"/>
          <w:szCs w:val="22"/>
          <w:shd w:val="clear" w:color="auto" w:fill="FFFFFF"/>
          <w:lang w:val="en-US"/>
        </w:rPr>
        <w:t>et al</w:t>
      </w:r>
      <w:r w:rsidR="00A87F8D" w:rsidRPr="00BE005D">
        <w:rPr>
          <w:rFonts w:ascii="Arial" w:hAnsi="Arial" w:cs="Arial"/>
          <w:color w:val="000000" w:themeColor="text1"/>
          <w:sz w:val="22"/>
          <w:szCs w:val="22"/>
          <w:shd w:val="clear" w:color="auto" w:fill="FFFFFF"/>
          <w:lang w:val="en-US"/>
        </w:rPr>
        <w:t xml:space="preserve">., (2020) </w:t>
      </w:r>
      <w:r w:rsidR="000F266E" w:rsidRPr="00BE005D">
        <w:rPr>
          <w:rFonts w:ascii="Arial" w:hAnsi="Arial" w:cs="Arial"/>
          <w:color w:val="000000" w:themeColor="text1"/>
          <w:sz w:val="22"/>
          <w:szCs w:val="22"/>
          <w:shd w:val="clear" w:color="auto" w:fill="FFFFFF"/>
          <w:lang w:val="en-US"/>
        </w:rPr>
        <w:t>investigate</w:t>
      </w:r>
      <w:r w:rsidR="000F266E" w:rsidRPr="00BE005D">
        <w:rPr>
          <w:rFonts w:ascii="Arial" w:hAnsi="Arial" w:cs="Arial"/>
          <w:color w:val="000000" w:themeColor="text1"/>
          <w:sz w:val="22"/>
          <w:szCs w:val="22"/>
          <w:shd w:val="clear" w:color="auto" w:fill="FFFFFF"/>
          <w:lang w:val="en-US"/>
        </w:rPr>
        <w:t>d</w:t>
      </w:r>
      <w:r w:rsidR="000F266E" w:rsidRPr="00BE005D">
        <w:rPr>
          <w:rFonts w:ascii="Arial" w:hAnsi="Arial" w:cs="Arial"/>
          <w:color w:val="000000" w:themeColor="text1"/>
          <w:sz w:val="22"/>
          <w:szCs w:val="22"/>
          <w:shd w:val="clear" w:color="auto" w:fill="FFFFFF"/>
          <w:lang w:val="en-US"/>
        </w:rPr>
        <w:t xml:space="preserve"> above- and below-ground responses in wheat fertilized with rock P (RP) under controlled conditions</w:t>
      </w:r>
      <w:r w:rsidR="000F266E" w:rsidRPr="00BE005D">
        <w:rPr>
          <w:rFonts w:ascii="Arial" w:hAnsi="Arial" w:cs="Arial"/>
          <w:color w:val="000000" w:themeColor="text1"/>
          <w:sz w:val="22"/>
          <w:szCs w:val="22"/>
          <w:shd w:val="clear" w:color="auto" w:fill="FFFFFF"/>
          <w:lang w:val="en-US"/>
        </w:rPr>
        <w:t xml:space="preserve"> of </w:t>
      </w:r>
      <w:r w:rsidR="00E52511" w:rsidRPr="00BE005D">
        <w:rPr>
          <w:rFonts w:ascii="Arial" w:hAnsi="Arial" w:cs="Arial"/>
          <w:color w:val="000000" w:themeColor="text1"/>
          <w:sz w:val="22"/>
          <w:szCs w:val="22"/>
          <w:shd w:val="clear" w:color="auto" w:fill="FFFFFF"/>
          <w:lang w:val="en-US"/>
        </w:rPr>
        <w:t>five contrasting PSB (</w:t>
      </w:r>
      <w:r w:rsidR="00E52511" w:rsidRPr="00BE005D">
        <w:rPr>
          <w:rFonts w:ascii="Arial" w:hAnsi="Arial" w:cs="Arial"/>
          <w:i/>
          <w:iCs/>
          <w:color w:val="000000" w:themeColor="text1"/>
          <w:sz w:val="22"/>
          <w:szCs w:val="22"/>
          <w:lang w:val="en-US"/>
        </w:rPr>
        <w:t>Pseudomonas</w:t>
      </w:r>
      <w:r w:rsidR="00E52511" w:rsidRPr="00BE005D">
        <w:rPr>
          <w:rStyle w:val="apple-converted-space"/>
          <w:rFonts w:ascii="Arial" w:hAnsi="Arial" w:cs="Arial"/>
          <w:color w:val="000000" w:themeColor="text1"/>
          <w:sz w:val="22"/>
          <w:szCs w:val="22"/>
          <w:shd w:val="clear" w:color="auto" w:fill="FFFFFF"/>
          <w:lang w:val="en-US"/>
        </w:rPr>
        <w:t> </w:t>
      </w:r>
      <w:r w:rsidR="00E52511" w:rsidRPr="00BE005D">
        <w:rPr>
          <w:rFonts w:ascii="Arial" w:hAnsi="Arial" w:cs="Arial"/>
          <w:color w:val="000000" w:themeColor="text1"/>
          <w:sz w:val="22"/>
          <w:szCs w:val="22"/>
          <w:shd w:val="clear" w:color="auto" w:fill="FFFFFF"/>
          <w:lang w:val="en-US"/>
        </w:rPr>
        <w:t>spp.) isolates (low “PSB</w:t>
      </w:r>
      <w:r w:rsidR="00E52511" w:rsidRPr="00BE005D">
        <w:rPr>
          <w:rFonts w:ascii="Arial" w:hAnsi="Arial" w:cs="Arial"/>
          <w:color w:val="000000" w:themeColor="text1"/>
          <w:sz w:val="22"/>
          <w:szCs w:val="22"/>
          <w:vertAlign w:val="subscript"/>
          <w:lang w:val="en-US"/>
        </w:rPr>
        <w:t>1</w:t>
      </w:r>
      <w:r w:rsidR="00E52511" w:rsidRPr="00BE005D">
        <w:rPr>
          <w:rFonts w:ascii="Arial" w:hAnsi="Arial" w:cs="Arial"/>
          <w:color w:val="000000" w:themeColor="text1"/>
          <w:sz w:val="22"/>
          <w:szCs w:val="22"/>
          <w:shd w:val="clear" w:color="auto" w:fill="FFFFFF"/>
          <w:lang w:val="en-US"/>
        </w:rPr>
        <w:t>”, moderate “PSB</w:t>
      </w:r>
      <w:r w:rsidR="00E52511" w:rsidRPr="00BE005D">
        <w:rPr>
          <w:rFonts w:ascii="Arial" w:hAnsi="Arial" w:cs="Arial"/>
          <w:color w:val="000000" w:themeColor="text1"/>
          <w:sz w:val="22"/>
          <w:szCs w:val="22"/>
          <w:vertAlign w:val="subscript"/>
          <w:lang w:val="en-US"/>
        </w:rPr>
        <w:t>2</w:t>
      </w:r>
      <w:r w:rsidR="00E52511" w:rsidRPr="00BE005D">
        <w:rPr>
          <w:rStyle w:val="apple-converted-space"/>
          <w:rFonts w:ascii="Arial" w:hAnsi="Arial" w:cs="Arial"/>
          <w:color w:val="000000" w:themeColor="text1"/>
          <w:sz w:val="22"/>
          <w:szCs w:val="22"/>
          <w:shd w:val="clear" w:color="auto" w:fill="FFFFFF"/>
          <w:lang w:val="en-US"/>
        </w:rPr>
        <w:t> </w:t>
      </w:r>
      <w:r w:rsidR="00E52511" w:rsidRPr="00BE005D">
        <w:rPr>
          <w:rFonts w:ascii="Arial" w:hAnsi="Arial" w:cs="Arial"/>
          <w:color w:val="000000" w:themeColor="text1"/>
          <w:sz w:val="22"/>
          <w:szCs w:val="22"/>
          <w:shd w:val="clear" w:color="auto" w:fill="FFFFFF"/>
          <w:lang w:val="en-US"/>
        </w:rPr>
        <w:t>and PSB</w:t>
      </w:r>
      <w:r w:rsidR="00E52511" w:rsidRPr="00BE005D">
        <w:rPr>
          <w:rFonts w:ascii="Arial" w:hAnsi="Arial" w:cs="Arial"/>
          <w:color w:val="000000" w:themeColor="text1"/>
          <w:sz w:val="22"/>
          <w:szCs w:val="22"/>
          <w:vertAlign w:val="subscript"/>
          <w:lang w:val="en-US"/>
        </w:rPr>
        <w:t>4</w:t>
      </w:r>
      <w:r w:rsidR="00E52511" w:rsidRPr="00BE005D">
        <w:rPr>
          <w:rFonts w:ascii="Arial" w:hAnsi="Arial" w:cs="Arial"/>
          <w:color w:val="000000" w:themeColor="text1"/>
          <w:sz w:val="22"/>
          <w:szCs w:val="22"/>
          <w:shd w:val="clear" w:color="auto" w:fill="FFFFFF"/>
          <w:lang w:val="en-US"/>
        </w:rPr>
        <w:t>” and high “PSB</w:t>
      </w:r>
      <w:r w:rsidR="00E52511" w:rsidRPr="00BE005D">
        <w:rPr>
          <w:rFonts w:ascii="Arial" w:hAnsi="Arial" w:cs="Arial"/>
          <w:color w:val="000000" w:themeColor="text1"/>
          <w:sz w:val="22"/>
          <w:szCs w:val="22"/>
          <w:vertAlign w:val="subscript"/>
          <w:lang w:val="en-US"/>
        </w:rPr>
        <w:t>3</w:t>
      </w:r>
      <w:r w:rsidR="00E52511" w:rsidRPr="00BE005D">
        <w:rPr>
          <w:rStyle w:val="apple-converted-space"/>
          <w:rFonts w:ascii="Arial" w:hAnsi="Arial" w:cs="Arial"/>
          <w:color w:val="000000" w:themeColor="text1"/>
          <w:sz w:val="22"/>
          <w:szCs w:val="22"/>
          <w:shd w:val="clear" w:color="auto" w:fill="FFFFFF"/>
          <w:lang w:val="en-US"/>
        </w:rPr>
        <w:t> </w:t>
      </w:r>
      <w:r w:rsidR="00E52511" w:rsidRPr="00BE005D">
        <w:rPr>
          <w:rFonts w:ascii="Arial" w:hAnsi="Arial" w:cs="Arial"/>
          <w:color w:val="000000" w:themeColor="text1"/>
          <w:sz w:val="22"/>
          <w:szCs w:val="22"/>
          <w:shd w:val="clear" w:color="auto" w:fill="FFFFFF"/>
          <w:lang w:val="en-US"/>
        </w:rPr>
        <w:t>and PSB</w:t>
      </w:r>
      <w:r w:rsidR="00E52511" w:rsidRPr="00BE005D">
        <w:rPr>
          <w:rFonts w:ascii="Arial" w:hAnsi="Arial" w:cs="Arial"/>
          <w:color w:val="000000" w:themeColor="text1"/>
          <w:sz w:val="22"/>
          <w:szCs w:val="22"/>
          <w:vertAlign w:val="subscript"/>
          <w:lang w:val="en-US"/>
        </w:rPr>
        <w:t>5</w:t>
      </w:r>
      <w:r w:rsidR="00E52511" w:rsidRPr="00BE005D">
        <w:rPr>
          <w:rFonts w:ascii="Arial" w:hAnsi="Arial" w:cs="Arial"/>
          <w:color w:val="000000" w:themeColor="text1"/>
          <w:sz w:val="22"/>
          <w:szCs w:val="22"/>
          <w:shd w:val="clear" w:color="auto" w:fill="FFFFFF"/>
          <w:lang w:val="en-US"/>
        </w:rPr>
        <w:t xml:space="preserve">” P-solubilizing capacity “PSC”). </w:t>
      </w:r>
      <w:r w:rsidR="00AB19E7" w:rsidRPr="00BE005D">
        <w:rPr>
          <w:rFonts w:ascii="Arial" w:hAnsi="Arial" w:cs="Arial"/>
          <w:color w:val="000000" w:themeColor="text1"/>
          <w:sz w:val="22"/>
          <w:szCs w:val="22"/>
          <w:shd w:val="clear" w:color="auto" w:fill="FFFFFF"/>
          <w:lang w:val="en-US"/>
        </w:rPr>
        <w:t>A</w:t>
      </w:r>
      <w:r w:rsidR="00E52511" w:rsidRPr="00BE005D">
        <w:rPr>
          <w:rFonts w:ascii="Arial" w:hAnsi="Arial" w:cs="Arial"/>
          <w:color w:val="000000" w:themeColor="text1"/>
          <w:sz w:val="22"/>
          <w:szCs w:val="22"/>
          <w:shd w:val="clear" w:color="auto" w:fill="FFFFFF"/>
          <w:lang w:val="en-US"/>
        </w:rPr>
        <w:t>ll PSB isolates increased wheat root traits, particularly PSB</w:t>
      </w:r>
      <w:r w:rsidR="00E52511" w:rsidRPr="00BE005D">
        <w:rPr>
          <w:rFonts w:ascii="Arial" w:hAnsi="Arial" w:cs="Arial"/>
          <w:color w:val="000000" w:themeColor="text1"/>
          <w:sz w:val="22"/>
          <w:szCs w:val="22"/>
          <w:vertAlign w:val="subscript"/>
          <w:lang w:val="en-US"/>
        </w:rPr>
        <w:t>5</w:t>
      </w:r>
      <w:r w:rsidR="00E52511" w:rsidRPr="00BE005D">
        <w:rPr>
          <w:rStyle w:val="apple-converted-space"/>
          <w:rFonts w:ascii="Arial" w:hAnsi="Arial" w:cs="Arial"/>
          <w:color w:val="000000" w:themeColor="text1"/>
          <w:sz w:val="22"/>
          <w:szCs w:val="22"/>
          <w:shd w:val="clear" w:color="auto" w:fill="FFFFFF"/>
          <w:lang w:val="en-US"/>
        </w:rPr>
        <w:t> </w:t>
      </w:r>
      <w:r w:rsidR="00E52511" w:rsidRPr="00BE005D">
        <w:rPr>
          <w:rFonts w:ascii="Arial" w:hAnsi="Arial" w:cs="Arial"/>
          <w:color w:val="000000" w:themeColor="text1"/>
          <w:sz w:val="22"/>
          <w:szCs w:val="22"/>
          <w:shd w:val="clear" w:color="auto" w:fill="FFFFFF"/>
          <w:lang w:val="en-US"/>
        </w:rPr>
        <w:t>which increased root biomass and PSB</w:t>
      </w:r>
      <w:r w:rsidR="00E52511" w:rsidRPr="00BE005D">
        <w:rPr>
          <w:rFonts w:ascii="Arial" w:hAnsi="Arial" w:cs="Arial"/>
          <w:color w:val="000000" w:themeColor="text1"/>
          <w:sz w:val="22"/>
          <w:szCs w:val="22"/>
          <w:vertAlign w:val="subscript"/>
          <w:lang w:val="en-US"/>
        </w:rPr>
        <w:t>3</w:t>
      </w:r>
      <w:r w:rsidR="00E52511" w:rsidRPr="00BE005D">
        <w:rPr>
          <w:rStyle w:val="apple-converted-space"/>
          <w:rFonts w:ascii="Arial" w:hAnsi="Arial" w:cs="Arial"/>
          <w:color w:val="000000" w:themeColor="text1"/>
          <w:sz w:val="22"/>
          <w:szCs w:val="22"/>
          <w:shd w:val="clear" w:color="auto" w:fill="FFFFFF"/>
          <w:lang w:val="en-US"/>
        </w:rPr>
        <w:t> </w:t>
      </w:r>
      <w:r w:rsidR="00E52511" w:rsidRPr="00BE005D">
        <w:rPr>
          <w:rFonts w:ascii="Arial" w:hAnsi="Arial" w:cs="Arial"/>
          <w:color w:val="000000" w:themeColor="text1"/>
          <w:sz w:val="22"/>
          <w:szCs w:val="22"/>
          <w:shd w:val="clear" w:color="auto" w:fill="FFFFFF"/>
          <w:lang w:val="en-US"/>
        </w:rPr>
        <w:t>that had greater effect on root diameter in 7-, 15- and 42-day old plants.</w:t>
      </w:r>
      <w:r w:rsidR="00ED4DA9" w:rsidRPr="00BE005D">
        <w:rPr>
          <w:rFonts w:ascii="Arial" w:hAnsi="Arial" w:cs="Arial"/>
          <w:sz w:val="22"/>
          <w:szCs w:val="22"/>
          <w:lang w:val="en-US"/>
        </w:rPr>
        <w:t xml:space="preserve"> </w:t>
      </w:r>
      <w:r w:rsidR="00631A21" w:rsidRPr="00BE005D">
        <w:rPr>
          <w:rFonts w:ascii="Arial" w:hAnsi="Arial" w:cs="Arial"/>
          <w:color w:val="000000" w:themeColor="text1"/>
          <w:sz w:val="22"/>
          <w:szCs w:val="22"/>
          <w:shd w:val="clear" w:color="auto" w:fill="FFFFFF"/>
          <w:lang w:val="en-US"/>
        </w:rPr>
        <w:t xml:space="preserve">Romero-Perdomo </w:t>
      </w:r>
      <w:r w:rsidR="00631A21" w:rsidRPr="00BE005D">
        <w:rPr>
          <w:rFonts w:ascii="Arial" w:hAnsi="Arial" w:cs="Arial"/>
          <w:i/>
          <w:iCs/>
          <w:color w:val="000000" w:themeColor="text1"/>
          <w:sz w:val="22"/>
          <w:szCs w:val="22"/>
          <w:shd w:val="clear" w:color="auto" w:fill="FFFFFF"/>
          <w:lang w:val="en-US"/>
        </w:rPr>
        <w:t>et al</w:t>
      </w:r>
      <w:r w:rsidR="00631A21" w:rsidRPr="00BE005D">
        <w:rPr>
          <w:rFonts w:ascii="Arial" w:hAnsi="Arial" w:cs="Arial"/>
          <w:color w:val="000000" w:themeColor="text1"/>
          <w:sz w:val="22"/>
          <w:szCs w:val="22"/>
          <w:shd w:val="clear" w:color="auto" w:fill="FFFFFF"/>
          <w:lang w:val="en-US"/>
        </w:rPr>
        <w:t xml:space="preserve">., (2021) </w:t>
      </w:r>
      <w:r w:rsidR="00772DF4" w:rsidRPr="00BE005D">
        <w:rPr>
          <w:rFonts w:ascii="Arial" w:hAnsi="Arial" w:cs="Arial"/>
          <w:color w:val="000000" w:themeColor="text1"/>
          <w:sz w:val="22"/>
          <w:szCs w:val="22"/>
          <w:shd w:val="clear" w:color="auto" w:fill="FFFFFF"/>
          <w:lang w:val="en-US"/>
        </w:rPr>
        <w:t xml:space="preserve">evaluated </w:t>
      </w:r>
      <w:r w:rsidR="007A7130" w:rsidRPr="00BE005D">
        <w:rPr>
          <w:rFonts w:ascii="Arial" w:hAnsi="Arial" w:cs="Arial"/>
          <w:color w:val="000000" w:themeColor="text1"/>
          <w:sz w:val="22"/>
          <w:szCs w:val="22"/>
          <w:shd w:val="clear" w:color="auto" w:fill="FFFFFF"/>
          <w:lang w:val="en-US"/>
        </w:rPr>
        <w:t>six plant growth-promoting bacteria strains under greenhouse conditions</w:t>
      </w:r>
      <w:r w:rsidR="00772DF4" w:rsidRPr="00BE005D">
        <w:rPr>
          <w:rFonts w:ascii="Arial" w:hAnsi="Arial" w:cs="Arial"/>
          <w:color w:val="000000" w:themeColor="text1"/>
          <w:sz w:val="22"/>
          <w:szCs w:val="22"/>
          <w:shd w:val="clear" w:color="auto" w:fill="FFFFFF"/>
          <w:lang w:val="en-US"/>
        </w:rPr>
        <w:t>.</w:t>
      </w:r>
      <w:r w:rsidR="007A7130" w:rsidRPr="00BE005D">
        <w:rPr>
          <w:rFonts w:ascii="Arial" w:hAnsi="Arial" w:cs="Arial"/>
          <w:color w:val="000000" w:themeColor="text1"/>
          <w:sz w:val="22"/>
          <w:szCs w:val="22"/>
          <w:shd w:val="clear" w:color="auto" w:fill="FFFFFF"/>
          <w:lang w:val="en-US"/>
        </w:rPr>
        <w:t xml:space="preserve"> </w:t>
      </w:r>
      <w:r w:rsidR="00772DF4" w:rsidRPr="00BE005D">
        <w:rPr>
          <w:rFonts w:ascii="Arial" w:hAnsi="Arial" w:cs="Arial"/>
          <w:color w:val="000000" w:themeColor="text1"/>
          <w:sz w:val="22"/>
          <w:szCs w:val="22"/>
          <w:shd w:val="clear" w:color="auto" w:fill="FFFFFF"/>
          <w:lang w:val="en-US"/>
        </w:rPr>
        <w:t>T</w:t>
      </w:r>
      <w:r w:rsidR="007A7130" w:rsidRPr="00BE005D">
        <w:rPr>
          <w:rFonts w:ascii="Arial" w:hAnsi="Arial" w:cs="Arial"/>
          <w:color w:val="000000" w:themeColor="text1"/>
          <w:sz w:val="22"/>
          <w:szCs w:val="22"/>
          <w:shd w:val="clear" w:color="auto" w:fill="FFFFFF"/>
          <w:lang w:val="en-US"/>
        </w:rPr>
        <w:t>he</w:t>
      </w:r>
      <w:r w:rsidR="007A7130" w:rsidRPr="00BE005D">
        <w:rPr>
          <w:rStyle w:val="apple-converted-space"/>
          <w:rFonts w:ascii="Arial" w:hAnsi="Arial" w:cs="Arial"/>
          <w:color w:val="000000" w:themeColor="text1"/>
          <w:sz w:val="22"/>
          <w:szCs w:val="22"/>
          <w:shd w:val="clear" w:color="auto" w:fill="FFFFFF"/>
          <w:lang w:val="en-US"/>
        </w:rPr>
        <w:t> </w:t>
      </w:r>
      <w:r w:rsidR="007A7130" w:rsidRPr="00BE005D">
        <w:rPr>
          <w:rFonts w:ascii="Arial" w:hAnsi="Arial" w:cs="Arial"/>
          <w:i/>
          <w:iCs/>
          <w:color w:val="000000" w:themeColor="text1"/>
          <w:sz w:val="22"/>
          <w:szCs w:val="22"/>
          <w:lang w:val="en-US"/>
        </w:rPr>
        <w:t>Rhizobium</w:t>
      </w:r>
      <w:r w:rsidR="007A7130" w:rsidRPr="00BE005D">
        <w:rPr>
          <w:rStyle w:val="apple-converted-space"/>
          <w:rFonts w:ascii="Arial" w:hAnsi="Arial" w:cs="Arial"/>
          <w:color w:val="000000" w:themeColor="text1"/>
          <w:sz w:val="22"/>
          <w:szCs w:val="22"/>
          <w:shd w:val="clear" w:color="auto" w:fill="FFFFFF"/>
          <w:lang w:val="en-US"/>
        </w:rPr>
        <w:t> </w:t>
      </w:r>
      <w:r w:rsidR="007A7130" w:rsidRPr="00BE005D">
        <w:rPr>
          <w:rFonts w:ascii="Arial" w:hAnsi="Arial" w:cs="Arial"/>
          <w:color w:val="000000" w:themeColor="text1"/>
          <w:sz w:val="22"/>
          <w:szCs w:val="22"/>
          <w:shd w:val="clear" w:color="auto" w:fill="FFFFFF"/>
          <w:lang w:val="en-US"/>
        </w:rPr>
        <w:t xml:space="preserve">strain B02 significantly promoted growth, shoot P content and photosynthetic rate. </w:t>
      </w:r>
      <w:r w:rsidR="00EC150D" w:rsidRPr="00BE005D">
        <w:rPr>
          <w:rFonts w:ascii="Arial" w:hAnsi="Arial" w:cs="Arial"/>
          <w:color w:val="000000" w:themeColor="text1"/>
          <w:sz w:val="22"/>
          <w:szCs w:val="22"/>
          <w:shd w:val="clear" w:color="auto" w:fill="FFFFFF"/>
          <w:lang w:val="en-US"/>
        </w:rPr>
        <w:t>A</w:t>
      </w:r>
      <w:r w:rsidR="00EC150D" w:rsidRPr="00BE005D">
        <w:rPr>
          <w:rFonts w:ascii="Arial" w:hAnsi="Arial" w:cs="Arial"/>
          <w:color w:val="000000" w:themeColor="text1"/>
          <w:sz w:val="22"/>
          <w:szCs w:val="22"/>
          <w:shd w:val="clear" w:color="auto" w:fill="FFFFFF"/>
          <w:lang w:val="en-US"/>
        </w:rPr>
        <w:t>pplication of</w:t>
      </w:r>
      <w:r w:rsidR="00EC150D" w:rsidRPr="00BE005D">
        <w:rPr>
          <w:rStyle w:val="apple-converted-space"/>
          <w:rFonts w:ascii="Arial" w:hAnsi="Arial" w:cs="Arial"/>
          <w:color w:val="000000" w:themeColor="text1"/>
          <w:sz w:val="22"/>
          <w:szCs w:val="22"/>
          <w:shd w:val="clear" w:color="auto" w:fill="FFFFFF"/>
          <w:lang w:val="en-US"/>
        </w:rPr>
        <w:t> </w:t>
      </w:r>
      <w:r w:rsidR="00EC150D" w:rsidRPr="00BE005D">
        <w:rPr>
          <w:rFonts w:ascii="Arial" w:hAnsi="Arial" w:cs="Arial"/>
          <w:i/>
          <w:iCs/>
          <w:color w:val="000000" w:themeColor="text1"/>
          <w:sz w:val="22"/>
          <w:szCs w:val="22"/>
          <w:lang w:val="en-US"/>
        </w:rPr>
        <w:t>Rhizobium</w:t>
      </w:r>
      <w:r w:rsidR="00EC150D" w:rsidRPr="00BE005D">
        <w:rPr>
          <w:rStyle w:val="apple-converted-space"/>
          <w:rFonts w:ascii="Arial" w:hAnsi="Arial" w:cs="Arial"/>
          <w:color w:val="000000" w:themeColor="text1"/>
          <w:sz w:val="22"/>
          <w:szCs w:val="22"/>
          <w:shd w:val="clear" w:color="auto" w:fill="FFFFFF"/>
          <w:lang w:val="en-US"/>
        </w:rPr>
        <w:t> </w:t>
      </w:r>
      <w:r w:rsidR="00EC150D" w:rsidRPr="00BE005D">
        <w:rPr>
          <w:rFonts w:ascii="Arial" w:hAnsi="Arial" w:cs="Arial"/>
          <w:color w:val="000000" w:themeColor="text1"/>
          <w:sz w:val="22"/>
          <w:szCs w:val="22"/>
          <w:shd w:val="clear" w:color="auto" w:fill="FFFFFF"/>
          <w:lang w:val="en-US"/>
        </w:rPr>
        <w:t>strain B02 showed the capacity to optimize the use of low-solubility fertilizer as the rock phosphate.</w:t>
      </w:r>
    </w:p>
    <w:p w14:paraId="5F646BB0" w14:textId="52EE0016" w:rsidR="007A7130" w:rsidRPr="00BE005D" w:rsidRDefault="007A7130" w:rsidP="004F28FB">
      <w:pPr>
        <w:jc w:val="both"/>
        <w:rPr>
          <w:rFonts w:ascii="Arial" w:hAnsi="Arial" w:cs="Arial"/>
          <w:color w:val="000000" w:themeColor="text1"/>
          <w:sz w:val="22"/>
          <w:szCs w:val="22"/>
          <w:lang w:val="en-US"/>
        </w:rPr>
      </w:pPr>
    </w:p>
    <w:p w14:paraId="049EA3C3" w14:textId="77777777" w:rsidR="007B7660" w:rsidRPr="00BE005D" w:rsidRDefault="00B26156">
      <w:pPr>
        <w:jc w:val="both"/>
        <w:rPr>
          <w:rFonts w:ascii="Arial" w:hAnsi="Arial" w:cs="Arial"/>
          <w:sz w:val="22"/>
          <w:szCs w:val="22"/>
          <w:lang w:val="en-US"/>
        </w:rPr>
      </w:pPr>
      <w:r w:rsidRPr="00BE005D">
        <w:rPr>
          <w:rFonts w:ascii="Arial" w:hAnsi="Arial" w:cs="Arial"/>
          <w:sz w:val="22"/>
          <w:szCs w:val="22"/>
          <w:lang w:val="en-US"/>
        </w:rPr>
        <w:t xml:space="preserve">This study used the measurement of physiological variables related to plant growth promotion as an indirect measurement of phosphate solubilization after inoculation with different isolates of </w:t>
      </w:r>
      <w:r w:rsidRPr="00BE005D">
        <w:rPr>
          <w:rFonts w:ascii="Arial" w:hAnsi="Arial" w:cs="Arial"/>
          <w:i/>
          <w:sz w:val="22"/>
          <w:szCs w:val="22"/>
          <w:lang w:val="en-US"/>
        </w:rPr>
        <w:t>G. diazotrophicus</w:t>
      </w:r>
      <w:r w:rsidRPr="00BE005D">
        <w:rPr>
          <w:rFonts w:ascii="Arial" w:hAnsi="Arial" w:cs="Arial"/>
          <w:sz w:val="22"/>
          <w:szCs w:val="22"/>
          <w:lang w:val="en-US"/>
        </w:rPr>
        <w:t xml:space="preserve">. However, these parameters may be the result of the combined action of different mechanisms of action present in this bacterium, such as biological nitrogen fixation, production of </w:t>
      </w:r>
      <w:r w:rsidRPr="00BE005D">
        <w:rPr>
          <w:rFonts w:ascii="Arial" w:hAnsi="Arial" w:cs="Arial"/>
          <w:sz w:val="22"/>
          <w:szCs w:val="22"/>
          <w:lang w:val="en-US"/>
        </w:rPr>
        <w:lastRenderedPageBreak/>
        <w:t xml:space="preserve">indoleacetic acid and other phytohormones. An important part of the improvement of variables </w:t>
      </w:r>
      <w:r w:rsidRPr="00BE005D">
        <w:rPr>
          <w:rFonts w:ascii="Arial" w:hAnsi="Arial" w:cs="Arial"/>
          <w:iCs/>
          <w:sz w:val="22"/>
          <w:szCs w:val="22"/>
          <w:lang w:val="en-US"/>
        </w:rPr>
        <w:t>growth and development</w:t>
      </w:r>
      <w:r w:rsidRPr="00BE005D">
        <w:rPr>
          <w:rFonts w:ascii="Arial" w:hAnsi="Arial" w:cs="Arial"/>
          <w:sz w:val="22"/>
          <w:szCs w:val="22"/>
          <w:lang w:val="en-US"/>
        </w:rPr>
        <w:t xml:space="preserve"> evaluated in </w:t>
      </w:r>
      <w:r w:rsidRPr="00BE005D">
        <w:rPr>
          <w:rFonts w:ascii="Arial" w:hAnsi="Arial" w:cs="Arial"/>
          <w:i/>
          <w:sz w:val="22"/>
          <w:szCs w:val="22"/>
          <w:lang w:val="en-US"/>
        </w:rPr>
        <w:t xml:space="preserve">S. </w:t>
      </w:r>
      <w:proofErr w:type="spellStart"/>
      <w:r w:rsidRPr="00BE005D">
        <w:rPr>
          <w:rFonts w:ascii="Arial" w:hAnsi="Arial" w:cs="Arial"/>
          <w:i/>
          <w:sz w:val="22"/>
          <w:szCs w:val="22"/>
          <w:lang w:val="en-US"/>
        </w:rPr>
        <w:t>lycopersicum</w:t>
      </w:r>
      <w:proofErr w:type="spellEnd"/>
      <w:r w:rsidRPr="00BE005D">
        <w:rPr>
          <w:rFonts w:ascii="Arial" w:hAnsi="Arial" w:cs="Arial"/>
          <w:i/>
          <w:sz w:val="22"/>
          <w:szCs w:val="22"/>
          <w:lang w:val="en-US"/>
        </w:rPr>
        <w:t xml:space="preserve"> </w:t>
      </w:r>
      <w:r w:rsidRPr="00BE005D">
        <w:rPr>
          <w:rFonts w:ascii="Arial" w:hAnsi="Arial" w:cs="Arial"/>
          <w:sz w:val="22"/>
          <w:szCs w:val="22"/>
          <w:lang w:val="en-US"/>
        </w:rPr>
        <w:t xml:space="preserve">is due to the mobilization of phosphate mediated by </w:t>
      </w:r>
      <w:r w:rsidRPr="00BE005D">
        <w:rPr>
          <w:rFonts w:ascii="Arial" w:hAnsi="Arial" w:cs="Arial"/>
          <w:i/>
          <w:sz w:val="22"/>
          <w:szCs w:val="22"/>
          <w:lang w:val="en-US"/>
        </w:rPr>
        <w:t>G. diazotrophicus</w:t>
      </w:r>
      <w:r w:rsidRPr="00BE005D">
        <w:rPr>
          <w:rFonts w:ascii="Arial" w:hAnsi="Arial" w:cs="Arial"/>
          <w:sz w:val="22"/>
          <w:szCs w:val="22"/>
          <w:lang w:val="en-US"/>
        </w:rPr>
        <w:t>. This is supported by the fact that the treatments with microorganisms, in the absence of phosphorus fertilization, produced comparable or superior results to the control with chemical fertilizer.</w:t>
      </w:r>
    </w:p>
    <w:p w14:paraId="0EED2457" w14:textId="77777777" w:rsidR="007B7660" w:rsidRPr="00BE005D" w:rsidRDefault="007B7660">
      <w:pPr>
        <w:jc w:val="both"/>
        <w:rPr>
          <w:rFonts w:ascii="Arial" w:hAnsi="Arial" w:cs="Arial"/>
          <w:sz w:val="22"/>
          <w:szCs w:val="22"/>
          <w:lang w:val="en-US"/>
        </w:rPr>
      </w:pPr>
    </w:p>
    <w:p w14:paraId="1734F6E2" w14:textId="54FD27CF" w:rsidR="00B26156" w:rsidRPr="00555447" w:rsidRDefault="00B26156">
      <w:pPr>
        <w:jc w:val="both"/>
        <w:rPr>
          <w:rFonts w:ascii="Arial" w:hAnsi="Arial" w:cs="Arial"/>
          <w:sz w:val="22"/>
          <w:szCs w:val="22"/>
          <w:lang w:val="en-US"/>
        </w:rPr>
      </w:pPr>
      <w:r w:rsidRPr="00BE005D">
        <w:rPr>
          <w:rFonts w:ascii="Arial" w:hAnsi="Arial" w:cs="Arial"/>
          <w:sz w:val="22"/>
          <w:szCs w:val="22"/>
          <w:lang w:val="en-US"/>
        </w:rPr>
        <w:t xml:space="preserve">However, it is important to consider in this crop if chemical fertilization (phosphoric rock) can improve its effectiveness with the use of phosphate-solubilizing bacteria, a condition that was demonstrated in </w:t>
      </w:r>
      <w:r w:rsidRPr="00BE005D">
        <w:rPr>
          <w:rFonts w:ascii="Arial" w:hAnsi="Arial" w:cs="Arial"/>
          <w:i/>
          <w:iCs/>
          <w:sz w:val="22"/>
          <w:szCs w:val="22"/>
          <w:lang w:val="en-US"/>
        </w:rPr>
        <w:t xml:space="preserve">Medicago </w:t>
      </w:r>
      <w:proofErr w:type="spellStart"/>
      <w:r w:rsidRPr="00BE005D">
        <w:rPr>
          <w:rFonts w:ascii="Arial" w:hAnsi="Arial" w:cs="Arial"/>
          <w:i/>
          <w:iCs/>
          <w:sz w:val="22"/>
          <w:szCs w:val="22"/>
          <w:lang w:val="en-US"/>
        </w:rPr>
        <w:t>trunculata</w:t>
      </w:r>
      <w:proofErr w:type="spellEnd"/>
      <w:r w:rsidRPr="00BE005D">
        <w:rPr>
          <w:rFonts w:ascii="Arial" w:hAnsi="Arial" w:cs="Arial"/>
          <w:sz w:val="22"/>
          <w:szCs w:val="22"/>
          <w:lang w:val="en-US"/>
        </w:rPr>
        <w:t xml:space="preserve"> </w:t>
      </w:r>
      <w:r w:rsidRPr="00BE005D">
        <w:rPr>
          <w:rFonts w:ascii="Arial" w:hAnsi="Arial" w:cs="Arial"/>
          <w:color w:val="000000" w:themeColor="text1"/>
          <w:sz w:val="22"/>
          <w:szCs w:val="22"/>
          <w:lang w:val="en-US"/>
        </w:rPr>
        <w:t xml:space="preserve">(Ben </w:t>
      </w:r>
      <w:r w:rsidRPr="00BE005D">
        <w:rPr>
          <w:rFonts w:ascii="Arial" w:hAnsi="Arial" w:cs="Arial"/>
          <w:i/>
          <w:iCs/>
          <w:color w:val="000000" w:themeColor="text1"/>
          <w:sz w:val="22"/>
          <w:szCs w:val="22"/>
          <w:lang w:val="en-US"/>
        </w:rPr>
        <w:t>et al</w:t>
      </w:r>
      <w:r w:rsidRPr="00BE005D">
        <w:rPr>
          <w:rFonts w:ascii="Arial" w:hAnsi="Arial" w:cs="Arial"/>
          <w:color w:val="000000" w:themeColor="text1"/>
          <w:sz w:val="22"/>
          <w:szCs w:val="22"/>
          <w:lang w:val="en-US"/>
        </w:rPr>
        <w:t>.</w:t>
      </w:r>
      <w:r w:rsidR="00B721E2" w:rsidRPr="00BE005D">
        <w:rPr>
          <w:rFonts w:ascii="Arial" w:hAnsi="Arial" w:cs="Arial"/>
          <w:color w:val="000000" w:themeColor="text1"/>
          <w:sz w:val="22"/>
          <w:szCs w:val="22"/>
          <w:lang w:val="en-US"/>
        </w:rPr>
        <w:t>,</w:t>
      </w:r>
      <w:r w:rsidRPr="00BE005D">
        <w:rPr>
          <w:rFonts w:ascii="Arial" w:hAnsi="Arial" w:cs="Arial"/>
          <w:color w:val="000000" w:themeColor="text1"/>
          <w:sz w:val="22"/>
          <w:szCs w:val="22"/>
          <w:lang w:val="en-US"/>
        </w:rPr>
        <w:t xml:space="preserve"> 2020)</w:t>
      </w:r>
      <w:r w:rsidRPr="00BE005D">
        <w:rPr>
          <w:rFonts w:ascii="Arial" w:hAnsi="Arial" w:cs="Arial"/>
          <w:sz w:val="22"/>
          <w:szCs w:val="22"/>
          <w:lang w:val="en-US"/>
        </w:rPr>
        <w:t>.</w:t>
      </w:r>
      <w:r w:rsidRPr="00555447">
        <w:rPr>
          <w:rFonts w:ascii="Arial" w:hAnsi="Arial" w:cs="Arial"/>
          <w:sz w:val="22"/>
          <w:szCs w:val="22"/>
          <w:lang w:val="en-US"/>
        </w:rPr>
        <w:t xml:space="preserve"> </w:t>
      </w:r>
    </w:p>
    <w:p w14:paraId="08A974A6" w14:textId="77777777" w:rsidR="00130BEF" w:rsidRPr="00555447" w:rsidRDefault="00130BEF">
      <w:pPr>
        <w:jc w:val="both"/>
        <w:rPr>
          <w:rFonts w:ascii="Arial" w:eastAsia="Arial" w:hAnsi="Arial" w:cs="Arial"/>
          <w:b/>
          <w:color w:val="000000"/>
          <w:sz w:val="22"/>
          <w:szCs w:val="22"/>
        </w:rPr>
      </w:pPr>
    </w:p>
    <w:p w14:paraId="0FA201CA" w14:textId="7BBC7A36" w:rsidR="00F13D75" w:rsidRPr="00555447" w:rsidRDefault="0087636D">
      <w:pPr>
        <w:jc w:val="both"/>
        <w:rPr>
          <w:rFonts w:ascii="Arial" w:hAnsi="Arial" w:cs="Arial"/>
          <w:sz w:val="22"/>
          <w:szCs w:val="22"/>
          <w:lang w:val="en-US"/>
        </w:rPr>
      </w:pPr>
      <w:r w:rsidRPr="00555447">
        <w:rPr>
          <w:rFonts w:ascii="Arial" w:eastAsia="Arial" w:hAnsi="Arial" w:cs="Arial"/>
          <w:b/>
          <w:color w:val="000000"/>
          <w:sz w:val="22"/>
          <w:szCs w:val="22"/>
        </w:rPr>
        <w:t>CONCLUSIONS</w:t>
      </w:r>
    </w:p>
    <w:p w14:paraId="552B5628" w14:textId="77777777" w:rsidR="00F13D75" w:rsidRPr="00555447" w:rsidRDefault="00F13D75">
      <w:pPr>
        <w:jc w:val="both"/>
        <w:rPr>
          <w:rFonts w:ascii="Arial" w:eastAsia="Arial" w:hAnsi="Arial" w:cs="Arial"/>
          <w:color w:val="000000"/>
          <w:sz w:val="22"/>
          <w:szCs w:val="22"/>
        </w:rPr>
      </w:pPr>
    </w:p>
    <w:p w14:paraId="11343BD5" w14:textId="31AA4DBF" w:rsidR="00C7682F" w:rsidRPr="00555447" w:rsidRDefault="00C7682F" w:rsidP="00C7682F">
      <w:pPr>
        <w:jc w:val="both"/>
        <w:rPr>
          <w:rFonts w:ascii="Arial" w:hAnsi="Arial" w:cs="Arial"/>
          <w:sz w:val="22"/>
          <w:szCs w:val="22"/>
          <w:lang w:val="en-US"/>
        </w:rPr>
      </w:pPr>
      <w:r w:rsidRPr="00555447">
        <w:rPr>
          <w:rFonts w:ascii="Arial" w:hAnsi="Arial" w:cs="Arial"/>
          <w:sz w:val="22"/>
          <w:szCs w:val="22"/>
          <w:lang w:val="en-US"/>
        </w:rPr>
        <w:t xml:space="preserve">The microorganisms that are naturally in the environment can interact with the different fractions of insoluble P and turn them into soluble forms within the soil solution, from where it can be absorbed by plant roots. The use of these microorganisms could reduce the use of phosphate fertilizers and is an approach that contributes to the establishment of cleaner and more sustainable agricultural practices. The indigenous isolates of </w:t>
      </w:r>
      <w:r w:rsidRPr="00555447">
        <w:rPr>
          <w:rFonts w:ascii="Arial" w:hAnsi="Arial" w:cs="Arial"/>
          <w:i/>
          <w:sz w:val="22"/>
          <w:szCs w:val="22"/>
          <w:lang w:val="en-US"/>
        </w:rPr>
        <w:t>G. diazotrophicus</w:t>
      </w:r>
      <w:r w:rsidRPr="00555447">
        <w:rPr>
          <w:rFonts w:ascii="Arial" w:hAnsi="Arial" w:cs="Arial"/>
          <w:sz w:val="22"/>
          <w:szCs w:val="22"/>
          <w:lang w:val="en-US"/>
        </w:rPr>
        <w:t xml:space="preserve"> from Colombian agroecosystems are potentially efficient in solubilizing various sources of inorganic phosphate and promoting plant growth in </w:t>
      </w:r>
      <w:r w:rsidRPr="00555447">
        <w:rPr>
          <w:rFonts w:ascii="Arial" w:hAnsi="Arial" w:cs="Arial"/>
          <w:i/>
          <w:sz w:val="22"/>
          <w:szCs w:val="22"/>
          <w:lang w:val="en-US"/>
        </w:rPr>
        <w:t xml:space="preserve">S. </w:t>
      </w:r>
      <w:proofErr w:type="spellStart"/>
      <w:r w:rsidRPr="00555447">
        <w:rPr>
          <w:rFonts w:ascii="Arial" w:hAnsi="Arial" w:cs="Arial"/>
          <w:i/>
          <w:sz w:val="22"/>
          <w:szCs w:val="22"/>
          <w:lang w:val="en-US"/>
        </w:rPr>
        <w:t>lycopersicum</w:t>
      </w:r>
      <w:proofErr w:type="spellEnd"/>
      <w:r w:rsidRPr="00555447">
        <w:rPr>
          <w:rFonts w:ascii="Arial" w:hAnsi="Arial" w:cs="Arial"/>
          <w:sz w:val="22"/>
          <w:szCs w:val="22"/>
          <w:lang w:val="en-US"/>
        </w:rPr>
        <w:t xml:space="preserve"> L. at seedling level, which is backed by the increases in plant growth variables.</w:t>
      </w:r>
    </w:p>
    <w:p w14:paraId="7C4728A7" w14:textId="77777777" w:rsidR="00F13D75" w:rsidRPr="00555447" w:rsidRDefault="00F13D75">
      <w:pPr>
        <w:jc w:val="both"/>
        <w:rPr>
          <w:rFonts w:ascii="Arial" w:eastAsia="Arial" w:hAnsi="Arial" w:cs="Arial"/>
          <w:color w:val="000000"/>
          <w:sz w:val="22"/>
          <w:szCs w:val="22"/>
        </w:rPr>
      </w:pPr>
    </w:p>
    <w:p w14:paraId="50EF7731" w14:textId="77777777" w:rsidR="00F13D75" w:rsidRPr="00555447" w:rsidRDefault="0087636D">
      <w:pPr>
        <w:jc w:val="both"/>
        <w:rPr>
          <w:rFonts w:ascii="Arial" w:eastAsia="Arial" w:hAnsi="Arial" w:cs="Arial"/>
          <w:b/>
          <w:color w:val="000000"/>
          <w:sz w:val="22"/>
          <w:szCs w:val="22"/>
        </w:rPr>
      </w:pPr>
      <w:r w:rsidRPr="00555447">
        <w:rPr>
          <w:rFonts w:ascii="Arial" w:eastAsia="Arial" w:hAnsi="Arial" w:cs="Arial"/>
          <w:b/>
          <w:color w:val="000000"/>
          <w:sz w:val="22"/>
          <w:szCs w:val="22"/>
        </w:rPr>
        <w:t>ACKNOWLEDGEMENTS</w:t>
      </w:r>
    </w:p>
    <w:p w14:paraId="0DBC7BA1" w14:textId="77777777" w:rsidR="00F13D75" w:rsidRPr="00555447" w:rsidRDefault="00F13D75">
      <w:pPr>
        <w:jc w:val="both"/>
        <w:rPr>
          <w:rFonts w:ascii="Arial" w:eastAsia="Arial" w:hAnsi="Arial" w:cs="Arial"/>
          <w:color w:val="000000"/>
          <w:sz w:val="22"/>
          <w:szCs w:val="22"/>
        </w:rPr>
      </w:pPr>
    </w:p>
    <w:p w14:paraId="332072E6" w14:textId="61AF20E1" w:rsidR="003E78ED" w:rsidRPr="00555447" w:rsidRDefault="003E78ED" w:rsidP="003E78ED">
      <w:pPr>
        <w:autoSpaceDE w:val="0"/>
        <w:autoSpaceDN w:val="0"/>
        <w:adjustRightInd w:val="0"/>
        <w:jc w:val="both"/>
        <w:rPr>
          <w:rFonts w:ascii="Arial" w:hAnsi="Arial" w:cs="Arial"/>
          <w:sz w:val="22"/>
          <w:szCs w:val="22"/>
          <w:lang w:val="en-US"/>
        </w:rPr>
      </w:pPr>
      <w:r w:rsidRPr="00555447">
        <w:rPr>
          <w:rFonts w:ascii="Arial" w:hAnsi="Arial" w:cs="Arial"/>
          <w:sz w:val="22"/>
          <w:szCs w:val="22"/>
          <w:lang w:val="en-US"/>
        </w:rPr>
        <w:t xml:space="preserve">The authors would like to express their gratitude for the funding of this work to </w:t>
      </w:r>
      <w:proofErr w:type="spellStart"/>
      <w:r w:rsidRPr="00555447">
        <w:rPr>
          <w:rFonts w:ascii="Arial" w:hAnsi="Arial" w:cs="Arial"/>
          <w:sz w:val="22"/>
          <w:szCs w:val="22"/>
          <w:lang w:val="en-US"/>
        </w:rPr>
        <w:t>Ministerio</w:t>
      </w:r>
      <w:proofErr w:type="spellEnd"/>
      <w:r w:rsidRPr="00555447">
        <w:rPr>
          <w:rFonts w:ascii="Arial" w:hAnsi="Arial" w:cs="Arial"/>
          <w:sz w:val="22"/>
          <w:szCs w:val="22"/>
          <w:lang w:val="en-US"/>
        </w:rPr>
        <w:t xml:space="preserve"> de </w:t>
      </w:r>
      <w:proofErr w:type="spellStart"/>
      <w:r w:rsidRPr="00555447">
        <w:rPr>
          <w:rFonts w:ascii="Arial" w:hAnsi="Arial" w:cs="Arial"/>
          <w:sz w:val="22"/>
          <w:szCs w:val="22"/>
          <w:lang w:val="en-US"/>
        </w:rPr>
        <w:t>Ciencia</w:t>
      </w:r>
      <w:proofErr w:type="spellEnd"/>
      <w:r w:rsidRPr="00555447">
        <w:rPr>
          <w:rFonts w:ascii="Arial" w:hAnsi="Arial" w:cs="Arial"/>
          <w:sz w:val="22"/>
          <w:szCs w:val="22"/>
          <w:lang w:val="en-US"/>
        </w:rPr>
        <w:t xml:space="preserve">, </w:t>
      </w:r>
      <w:proofErr w:type="spellStart"/>
      <w:r w:rsidRPr="00555447">
        <w:rPr>
          <w:rFonts w:ascii="Arial" w:hAnsi="Arial" w:cs="Arial"/>
          <w:sz w:val="22"/>
          <w:szCs w:val="22"/>
          <w:lang w:val="en-US"/>
        </w:rPr>
        <w:t>Tecnología</w:t>
      </w:r>
      <w:proofErr w:type="spellEnd"/>
      <w:r w:rsidRPr="00555447">
        <w:rPr>
          <w:rFonts w:ascii="Arial" w:hAnsi="Arial" w:cs="Arial"/>
          <w:sz w:val="22"/>
          <w:szCs w:val="22"/>
          <w:lang w:val="en-US"/>
        </w:rPr>
        <w:t xml:space="preserve"> e </w:t>
      </w:r>
      <w:proofErr w:type="spellStart"/>
      <w:r w:rsidRPr="00555447">
        <w:rPr>
          <w:rFonts w:ascii="Arial" w:hAnsi="Arial" w:cs="Arial"/>
          <w:sz w:val="22"/>
          <w:szCs w:val="22"/>
          <w:lang w:val="en-US"/>
        </w:rPr>
        <w:t>Innovación</w:t>
      </w:r>
      <w:proofErr w:type="spellEnd"/>
      <w:r w:rsidRPr="00555447">
        <w:rPr>
          <w:rFonts w:ascii="Arial" w:hAnsi="Arial" w:cs="Arial"/>
          <w:sz w:val="22"/>
          <w:szCs w:val="22"/>
          <w:lang w:val="en-US"/>
        </w:rPr>
        <w:t xml:space="preserve"> de Colombia, </w:t>
      </w:r>
      <w:proofErr w:type="spellStart"/>
      <w:r w:rsidRPr="00555447">
        <w:rPr>
          <w:rFonts w:ascii="Arial" w:hAnsi="Arial" w:cs="Arial"/>
          <w:sz w:val="22"/>
          <w:szCs w:val="22"/>
          <w:lang w:val="en-US"/>
        </w:rPr>
        <w:t>Dirección</w:t>
      </w:r>
      <w:proofErr w:type="spellEnd"/>
      <w:r w:rsidRPr="00555447">
        <w:rPr>
          <w:rFonts w:ascii="Arial" w:hAnsi="Arial" w:cs="Arial"/>
          <w:sz w:val="22"/>
          <w:szCs w:val="22"/>
          <w:lang w:val="en-US"/>
        </w:rPr>
        <w:t xml:space="preserve"> de </w:t>
      </w:r>
      <w:proofErr w:type="spellStart"/>
      <w:r w:rsidRPr="00555447">
        <w:rPr>
          <w:rFonts w:ascii="Arial" w:hAnsi="Arial" w:cs="Arial"/>
          <w:sz w:val="22"/>
          <w:szCs w:val="22"/>
          <w:lang w:val="en-US"/>
        </w:rPr>
        <w:t>Investigaciones</w:t>
      </w:r>
      <w:proofErr w:type="spellEnd"/>
      <w:r w:rsidRPr="00555447">
        <w:rPr>
          <w:rFonts w:ascii="Arial" w:hAnsi="Arial" w:cs="Arial"/>
          <w:sz w:val="22"/>
          <w:szCs w:val="22"/>
          <w:lang w:val="en-US"/>
        </w:rPr>
        <w:t xml:space="preserve"> y </w:t>
      </w:r>
      <w:proofErr w:type="spellStart"/>
      <w:r w:rsidRPr="00555447">
        <w:rPr>
          <w:rFonts w:ascii="Arial" w:hAnsi="Arial" w:cs="Arial"/>
          <w:sz w:val="22"/>
          <w:szCs w:val="22"/>
          <w:lang w:val="en-US"/>
        </w:rPr>
        <w:t>Posgrados</w:t>
      </w:r>
      <w:proofErr w:type="spellEnd"/>
      <w:r w:rsidRPr="00555447">
        <w:rPr>
          <w:rFonts w:ascii="Arial" w:hAnsi="Arial" w:cs="Arial"/>
          <w:sz w:val="22"/>
          <w:szCs w:val="22"/>
          <w:lang w:val="en-US"/>
        </w:rPr>
        <w:t xml:space="preserve"> at Universidad </w:t>
      </w:r>
      <w:proofErr w:type="spellStart"/>
      <w:r w:rsidRPr="00555447">
        <w:rPr>
          <w:rFonts w:ascii="Arial" w:hAnsi="Arial" w:cs="Arial"/>
          <w:sz w:val="22"/>
          <w:szCs w:val="22"/>
          <w:lang w:val="en-US"/>
        </w:rPr>
        <w:t>Católica</w:t>
      </w:r>
      <w:proofErr w:type="spellEnd"/>
      <w:r w:rsidRPr="00555447">
        <w:rPr>
          <w:rFonts w:ascii="Arial" w:hAnsi="Arial" w:cs="Arial"/>
          <w:sz w:val="22"/>
          <w:szCs w:val="22"/>
          <w:lang w:val="en-US"/>
        </w:rPr>
        <w:t xml:space="preserve"> de Manizales and </w:t>
      </w:r>
      <w:proofErr w:type="spellStart"/>
      <w:r w:rsidRPr="00555447">
        <w:rPr>
          <w:rFonts w:ascii="Arial" w:hAnsi="Arial" w:cs="Arial"/>
          <w:sz w:val="22"/>
          <w:szCs w:val="22"/>
          <w:lang w:val="en-US"/>
        </w:rPr>
        <w:t>Vicerrectoría</w:t>
      </w:r>
      <w:proofErr w:type="spellEnd"/>
      <w:r w:rsidRPr="00555447">
        <w:rPr>
          <w:rFonts w:ascii="Arial" w:hAnsi="Arial" w:cs="Arial"/>
          <w:sz w:val="22"/>
          <w:szCs w:val="22"/>
          <w:lang w:val="en-US"/>
        </w:rPr>
        <w:t xml:space="preserve"> de </w:t>
      </w:r>
      <w:proofErr w:type="spellStart"/>
      <w:r w:rsidRPr="00555447">
        <w:rPr>
          <w:rFonts w:ascii="Arial" w:hAnsi="Arial" w:cs="Arial"/>
          <w:sz w:val="22"/>
          <w:szCs w:val="22"/>
          <w:lang w:val="en-US"/>
        </w:rPr>
        <w:t>Investigaciones</w:t>
      </w:r>
      <w:proofErr w:type="spellEnd"/>
      <w:r w:rsidRPr="00555447">
        <w:rPr>
          <w:rFonts w:ascii="Arial" w:hAnsi="Arial" w:cs="Arial"/>
          <w:sz w:val="22"/>
          <w:szCs w:val="22"/>
          <w:lang w:val="en-US"/>
        </w:rPr>
        <w:t xml:space="preserve"> y </w:t>
      </w:r>
      <w:proofErr w:type="spellStart"/>
      <w:r w:rsidRPr="00555447">
        <w:rPr>
          <w:rFonts w:ascii="Arial" w:hAnsi="Arial" w:cs="Arial"/>
          <w:sz w:val="22"/>
          <w:szCs w:val="22"/>
          <w:lang w:val="en-US"/>
        </w:rPr>
        <w:t>Posgrados</w:t>
      </w:r>
      <w:proofErr w:type="spellEnd"/>
      <w:r w:rsidRPr="00555447">
        <w:rPr>
          <w:rFonts w:ascii="Arial" w:hAnsi="Arial" w:cs="Arial"/>
          <w:sz w:val="22"/>
          <w:szCs w:val="22"/>
          <w:lang w:val="en-US"/>
        </w:rPr>
        <w:t xml:space="preserve"> at Universidad de Caldas through the project Attainment and evaluation of a promoter for growth of tomato and carrot crops from </w:t>
      </w:r>
      <w:r w:rsidRPr="00555447">
        <w:rPr>
          <w:rFonts w:ascii="Arial" w:hAnsi="Arial" w:cs="Arial"/>
          <w:i/>
          <w:sz w:val="22"/>
          <w:szCs w:val="22"/>
          <w:lang w:val="en-US"/>
        </w:rPr>
        <w:t>Gluconacetobacter diazotrophicus</w:t>
      </w:r>
      <w:r w:rsidRPr="00555447">
        <w:rPr>
          <w:rFonts w:ascii="Arial" w:hAnsi="Arial" w:cs="Arial"/>
          <w:sz w:val="22"/>
          <w:szCs w:val="22"/>
          <w:lang w:val="en-US"/>
        </w:rPr>
        <w:t>.</w:t>
      </w:r>
    </w:p>
    <w:p w14:paraId="2459A7C6" w14:textId="77777777" w:rsidR="00F13D75" w:rsidRPr="00555447" w:rsidRDefault="00F13D75">
      <w:pPr>
        <w:jc w:val="both"/>
        <w:rPr>
          <w:rFonts w:ascii="Arial" w:eastAsia="Arial" w:hAnsi="Arial" w:cs="Arial"/>
          <w:b/>
          <w:sz w:val="22"/>
          <w:szCs w:val="22"/>
        </w:rPr>
      </w:pPr>
    </w:p>
    <w:p w14:paraId="30031AA7" w14:textId="6A5BA95E" w:rsidR="00F13D75" w:rsidRPr="00555447" w:rsidRDefault="0087636D" w:rsidP="002327C8">
      <w:pPr>
        <w:jc w:val="both"/>
        <w:rPr>
          <w:rFonts w:ascii="Arial" w:eastAsia="Arial" w:hAnsi="Arial" w:cs="Arial"/>
          <w:b/>
          <w:color w:val="000000"/>
          <w:sz w:val="22"/>
          <w:szCs w:val="22"/>
          <w:lang w:val="en-US"/>
        </w:rPr>
      </w:pPr>
      <w:r w:rsidRPr="00555447">
        <w:rPr>
          <w:rFonts w:ascii="Arial" w:eastAsia="Arial" w:hAnsi="Arial" w:cs="Arial"/>
          <w:b/>
          <w:color w:val="000000"/>
          <w:sz w:val="22"/>
          <w:szCs w:val="22"/>
          <w:lang w:val="en-US"/>
        </w:rPr>
        <w:t>REFERENCES</w:t>
      </w:r>
      <w:bookmarkStart w:id="5" w:name="bookmark=id.1fob9te" w:colFirst="0" w:colLast="0"/>
      <w:bookmarkEnd w:id="5"/>
    </w:p>
    <w:p w14:paraId="2245B80F" w14:textId="67B2DAF6" w:rsidR="000E7723" w:rsidRPr="00555447" w:rsidRDefault="000E7723" w:rsidP="002327C8">
      <w:pPr>
        <w:jc w:val="both"/>
        <w:rPr>
          <w:rFonts w:ascii="Arial" w:eastAsia="Arial" w:hAnsi="Arial" w:cs="Arial"/>
          <w:color w:val="000000"/>
          <w:sz w:val="22"/>
          <w:szCs w:val="22"/>
        </w:rPr>
      </w:pPr>
    </w:p>
    <w:p w14:paraId="5347ED4E" w14:textId="77777777" w:rsidR="00667D0B" w:rsidRPr="00555447" w:rsidRDefault="00667D0B" w:rsidP="00E25407">
      <w:pPr>
        <w:rPr>
          <w:rFonts w:ascii="Arial" w:hAnsi="Arial" w:cs="Arial"/>
          <w:color w:val="222222"/>
          <w:sz w:val="22"/>
          <w:szCs w:val="22"/>
          <w:shd w:val="clear" w:color="auto" w:fill="FFFFFF"/>
          <w:lang w:val="en-US"/>
        </w:rPr>
      </w:pPr>
    </w:p>
    <w:p w14:paraId="1CD6F1CD" w14:textId="77777777" w:rsidR="00823C60" w:rsidRDefault="00D840F3" w:rsidP="00823C60">
      <w:pPr>
        <w:ind w:left="720" w:hanging="720"/>
        <w:jc w:val="both"/>
        <w:rPr>
          <w:rFonts w:ascii="Arial" w:hAnsi="Arial" w:cs="Arial"/>
          <w:sz w:val="22"/>
          <w:szCs w:val="22"/>
          <w:lang w:val="en-US"/>
        </w:rPr>
      </w:pPr>
      <w:r w:rsidRPr="00555447">
        <w:rPr>
          <w:rFonts w:ascii="Arial" w:hAnsi="Arial" w:cs="Arial"/>
          <w:color w:val="222222"/>
          <w:sz w:val="22"/>
          <w:szCs w:val="22"/>
          <w:shd w:val="clear" w:color="auto" w:fill="FFFFFF"/>
          <w:lang w:val="en-US"/>
        </w:rPr>
        <w:t>ALEXANDER, A.; SINGH, V. K.; MISHRA, A</w:t>
      </w:r>
      <w:r w:rsidR="00667D0B" w:rsidRPr="00555447">
        <w:rPr>
          <w:rFonts w:ascii="Arial" w:hAnsi="Arial" w:cs="Arial"/>
          <w:color w:val="222222"/>
          <w:sz w:val="22"/>
          <w:szCs w:val="22"/>
          <w:shd w:val="clear" w:color="auto" w:fill="FFFFFF"/>
          <w:lang w:val="en-US"/>
        </w:rPr>
        <w:t xml:space="preserve">. Halotolerant PGPR </w:t>
      </w:r>
      <w:r w:rsidR="00667D0B" w:rsidRPr="00AB3EBB">
        <w:rPr>
          <w:rFonts w:ascii="Arial" w:hAnsi="Arial" w:cs="Arial"/>
          <w:i/>
          <w:iCs/>
          <w:color w:val="222222"/>
          <w:sz w:val="22"/>
          <w:szCs w:val="22"/>
          <w:shd w:val="clear" w:color="auto" w:fill="FFFFFF"/>
          <w:lang w:val="en-US"/>
        </w:rPr>
        <w:t xml:space="preserve">Stenotrophomonas </w:t>
      </w:r>
      <w:proofErr w:type="spellStart"/>
      <w:r w:rsidR="00667D0B" w:rsidRPr="00AB3EBB">
        <w:rPr>
          <w:rFonts w:ascii="Arial" w:hAnsi="Arial" w:cs="Arial"/>
          <w:i/>
          <w:iCs/>
          <w:color w:val="222222"/>
          <w:sz w:val="22"/>
          <w:szCs w:val="22"/>
          <w:shd w:val="clear" w:color="auto" w:fill="FFFFFF"/>
          <w:lang w:val="en-US"/>
        </w:rPr>
        <w:t>maltophilia</w:t>
      </w:r>
      <w:proofErr w:type="spellEnd"/>
      <w:r w:rsidR="00667D0B" w:rsidRPr="00555447">
        <w:rPr>
          <w:rFonts w:ascii="Arial" w:hAnsi="Arial" w:cs="Arial"/>
          <w:color w:val="222222"/>
          <w:sz w:val="22"/>
          <w:szCs w:val="22"/>
          <w:shd w:val="clear" w:color="auto" w:fill="FFFFFF"/>
          <w:lang w:val="en-US"/>
        </w:rPr>
        <w:t xml:space="preserve"> BJ01 induces salt tolerance by modulating physiology and biochemical activities of </w:t>
      </w:r>
      <w:r w:rsidR="00667D0B" w:rsidRPr="002143BC">
        <w:rPr>
          <w:rFonts w:ascii="Arial" w:hAnsi="Arial" w:cs="Arial"/>
          <w:i/>
          <w:iCs/>
          <w:color w:val="222222"/>
          <w:sz w:val="22"/>
          <w:szCs w:val="22"/>
          <w:shd w:val="clear" w:color="auto" w:fill="FFFFFF"/>
          <w:lang w:val="en-US"/>
        </w:rPr>
        <w:t xml:space="preserve">Arachis </w:t>
      </w:r>
      <w:proofErr w:type="spellStart"/>
      <w:r w:rsidR="00667D0B" w:rsidRPr="002143BC">
        <w:rPr>
          <w:rFonts w:ascii="Arial" w:hAnsi="Arial" w:cs="Arial"/>
          <w:i/>
          <w:iCs/>
          <w:color w:val="222222"/>
          <w:sz w:val="22"/>
          <w:szCs w:val="22"/>
          <w:shd w:val="clear" w:color="auto" w:fill="FFFFFF"/>
          <w:lang w:val="en-US"/>
        </w:rPr>
        <w:t>hypogaea</w:t>
      </w:r>
      <w:proofErr w:type="spellEnd"/>
      <w:r w:rsidR="00667D0B" w:rsidRPr="00555447">
        <w:rPr>
          <w:rFonts w:ascii="Arial" w:hAnsi="Arial" w:cs="Arial"/>
          <w:color w:val="222222"/>
          <w:sz w:val="22"/>
          <w:szCs w:val="22"/>
          <w:shd w:val="clear" w:color="auto" w:fill="FFFFFF"/>
          <w:lang w:val="en-US"/>
        </w:rPr>
        <w:t>.</w:t>
      </w:r>
      <w:r w:rsidR="00667D0B" w:rsidRPr="00555447">
        <w:rPr>
          <w:rStyle w:val="apple-converted-space"/>
          <w:rFonts w:ascii="Arial" w:hAnsi="Arial" w:cs="Arial"/>
          <w:color w:val="222222"/>
          <w:sz w:val="22"/>
          <w:szCs w:val="22"/>
          <w:shd w:val="clear" w:color="auto" w:fill="FFFFFF"/>
          <w:lang w:val="en-US"/>
        </w:rPr>
        <w:t> </w:t>
      </w:r>
      <w:r w:rsidR="00667D0B" w:rsidRPr="002143BC">
        <w:rPr>
          <w:rFonts w:ascii="Arial" w:hAnsi="Arial" w:cs="Arial"/>
          <w:color w:val="222222"/>
          <w:sz w:val="22"/>
          <w:szCs w:val="22"/>
          <w:lang w:val="en-US"/>
        </w:rPr>
        <w:t>Frontiers in Microbiology</w:t>
      </w:r>
      <w:r w:rsidR="00667D0B" w:rsidRPr="002143BC">
        <w:rPr>
          <w:rFonts w:ascii="Arial" w:hAnsi="Arial" w:cs="Arial"/>
          <w:color w:val="222222"/>
          <w:sz w:val="22"/>
          <w:szCs w:val="22"/>
          <w:shd w:val="clear" w:color="auto" w:fill="FFFFFF"/>
          <w:lang w:val="en-US"/>
        </w:rPr>
        <w:t>,</w:t>
      </w:r>
      <w:r w:rsidR="00667D0B" w:rsidRPr="002143BC">
        <w:rPr>
          <w:rStyle w:val="apple-converted-space"/>
          <w:rFonts w:ascii="Arial" w:hAnsi="Arial" w:cs="Arial"/>
          <w:color w:val="222222"/>
          <w:sz w:val="22"/>
          <w:szCs w:val="22"/>
          <w:shd w:val="clear" w:color="auto" w:fill="FFFFFF"/>
          <w:lang w:val="en-US"/>
        </w:rPr>
        <w:t> </w:t>
      </w:r>
      <w:r w:rsidR="002143BC">
        <w:rPr>
          <w:rStyle w:val="apple-converted-space"/>
          <w:rFonts w:ascii="Arial" w:hAnsi="Arial" w:cs="Arial"/>
          <w:color w:val="222222"/>
          <w:sz w:val="22"/>
          <w:szCs w:val="22"/>
          <w:shd w:val="clear" w:color="auto" w:fill="FFFFFF"/>
          <w:lang w:val="en-US"/>
        </w:rPr>
        <w:t>v.</w:t>
      </w:r>
      <w:r w:rsidR="00667D0B" w:rsidRPr="002143BC">
        <w:rPr>
          <w:rFonts w:ascii="Arial" w:hAnsi="Arial" w:cs="Arial"/>
          <w:color w:val="222222"/>
          <w:sz w:val="22"/>
          <w:szCs w:val="22"/>
          <w:lang w:val="en-US"/>
        </w:rPr>
        <w:t>11</w:t>
      </w:r>
      <w:r w:rsidR="00667D0B" w:rsidRPr="002143BC">
        <w:rPr>
          <w:rFonts w:ascii="Arial" w:hAnsi="Arial" w:cs="Arial"/>
          <w:color w:val="222222"/>
          <w:sz w:val="22"/>
          <w:szCs w:val="22"/>
          <w:shd w:val="clear" w:color="auto" w:fill="FFFFFF"/>
          <w:lang w:val="en-US"/>
        </w:rPr>
        <w:t>,</w:t>
      </w:r>
      <w:r w:rsidR="002143BC">
        <w:rPr>
          <w:rFonts w:ascii="Arial" w:hAnsi="Arial" w:cs="Arial"/>
          <w:color w:val="222222"/>
          <w:sz w:val="22"/>
          <w:szCs w:val="22"/>
          <w:shd w:val="clear" w:color="auto" w:fill="FFFFFF"/>
          <w:lang w:val="en-US"/>
        </w:rPr>
        <w:t xml:space="preserve"> 2020,</w:t>
      </w:r>
      <w:r w:rsidR="00667D0B" w:rsidRPr="002143BC">
        <w:rPr>
          <w:rFonts w:ascii="Arial" w:hAnsi="Arial" w:cs="Arial"/>
          <w:color w:val="222222"/>
          <w:sz w:val="22"/>
          <w:szCs w:val="22"/>
          <w:shd w:val="clear" w:color="auto" w:fill="FFFFFF"/>
          <w:lang w:val="en-US"/>
        </w:rPr>
        <w:t xml:space="preserve"> </w:t>
      </w:r>
      <w:r w:rsidR="002143BC">
        <w:rPr>
          <w:rFonts w:ascii="Arial" w:hAnsi="Arial" w:cs="Arial"/>
          <w:color w:val="222222"/>
          <w:sz w:val="22"/>
          <w:szCs w:val="22"/>
          <w:shd w:val="clear" w:color="auto" w:fill="FFFFFF"/>
          <w:lang w:val="en-US"/>
        </w:rPr>
        <w:t xml:space="preserve">p. </w:t>
      </w:r>
      <w:r w:rsidR="00667D0B" w:rsidRPr="002143BC">
        <w:rPr>
          <w:rFonts w:ascii="Arial" w:hAnsi="Arial" w:cs="Arial"/>
          <w:color w:val="222222"/>
          <w:sz w:val="22"/>
          <w:szCs w:val="22"/>
          <w:shd w:val="clear" w:color="auto" w:fill="FFFFFF"/>
          <w:lang w:val="en-US"/>
        </w:rPr>
        <w:t>2530.</w:t>
      </w:r>
    </w:p>
    <w:p w14:paraId="29E262AC" w14:textId="441232FE" w:rsidR="00471DE0" w:rsidRPr="006C0A5D" w:rsidRDefault="00AD42DD" w:rsidP="006C0A5D">
      <w:pPr>
        <w:ind w:left="720"/>
        <w:jc w:val="both"/>
        <w:rPr>
          <w:rFonts w:ascii="Arial" w:hAnsi="Arial" w:cs="Arial"/>
          <w:sz w:val="22"/>
          <w:szCs w:val="22"/>
          <w:lang w:val="en-US"/>
        </w:rPr>
      </w:pPr>
      <w:hyperlink r:id="rId17" w:history="1">
        <w:r w:rsidRPr="00667D0B">
          <w:rPr>
            <w:rStyle w:val="Hipervnculo"/>
            <w:rFonts w:ascii="Arial" w:hAnsi="Arial" w:cs="Arial"/>
            <w:sz w:val="22"/>
            <w:szCs w:val="22"/>
            <w:lang w:val="en-US"/>
          </w:rPr>
          <w:t>https://doi.org/10.3389/fmicb.2020.568289</w:t>
        </w:r>
      </w:hyperlink>
    </w:p>
    <w:p w14:paraId="37CDEC69" w14:textId="77777777" w:rsidR="000756EE" w:rsidRDefault="00471DE0" w:rsidP="000756EE">
      <w:pPr>
        <w:ind w:left="720" w:hanging="720"/>
        <w:jc w:val="both"/>
        <w:rPr>
          <w:rFonts w:ascii="Arial" w:eastAsia="Arial" w:hAnsi="Arial" w:cs="Arial"/>
          <w:sz w:val="22"/>
          <w:szCs w:val="22"/>
          <w:lang w:val="en" w:eastAsia="es-CO"/>
        </w:rPr>
      </w:pPr>
      <w:r w:rsidRPr="00471DE0">
        <w:rPr>
          <w:rFonts w:ascii="Arial" w:eastAsia="Arial" w:hAnsi="Arial" w:cs="Arial"/>
          <w:sz w:val="22"/>
          <w:szCs w:val="22"/>
          <w:lang w:val="en" w:eastAsia="es-CO"/>
        </w:rPr>
        <w:t>ALEWELL, C.; RINGEVAL, B.; BALLABIO, C.; ROBINSON, D. A.; PANAGOS, P.; BORRELLI, P</w:t>
      </w:r>
      <w:r w:rsidR="00AD42DD" w:rsidRPr="00471DE0">
        <w:rPr>
          <w:rFonts w:ascii="Arial" w:eastAsia="Arial" w:hAnsi="Arial" w:cs="Arial"/>
          <w:sz w:val="22"/>
          <w:szCs w:val="22"/>
          <w:lang w:val="en" w:eastAsia="es-CO"/>
        </w:rPr>
        <w:t>.</w:t>
      </w:r>
      <w:r w:rsidR="00E25407" w:rsidRPr="00471DE0">
        <w:rPr>
          <w:rFonts w:ascii="Arial" w:eastAsia="Arial" w:hAnsi="Arial" w:cs="Arial"/>
          <w:sz w:val="22"/>
          <w:szCs w:val="22"/>
          <w:lang w:val="en" w:eastAsia="es-CO"/>
        </w:rPr>
        <w:t xml:space="preserve"> Global phosphorus shortage will be aggravated by soil erosion. Nature communications, </w:t>
      </w:r>
      <w:r w:rsidR="00AD42DD" w:rsidRPr="00471DE0">
        <w:rPr>
          <w:rFonts w:ascii="Arial" w:eastAsia="Arial" w:hAnsi="Arial" w:cs="Arial"/>
          <w:sz w:val="22"/>
          <w:szCs w:val="22"/>
          <w:lang w:val="en" w:eastAsia="es-CO"/>
        </w:rPr>
        <w:t>v.</w:t>
      </w:r>
      <w:r w:rsidR="00E25407" w:rsidRPr="00471DE0">
        <w:rPr>
          <w:rFonts w:ascii="Arial" w:eastAsia="Arial" w:hAnsi="Arial" w:cs="Arial"/>
          <w:sz w:val="22"/>
          <w:szCs w:val="22"/>
          <w:lang w:val="en" w:eastAsia="es-CO"/>
        </w:rPr>
        <w:t>11</w:t>
      </w:r>
      <w:r w:rsidR="00AD42DD" w:rsidRPr="00471DE0">
        <w:rPr>
          <w:rFonts w:ascii="Arial" w:eastAsia="Arial" w:hAnsi="Arial" w:cs="Arial"/>
          <w:sz w:val="22"/>
          <w:szCs w:val="22"/>
          <w:lang w:val="en" w:eastAsia="es-CO"/>
        </w:rPr>
        <w:t>, n.</w:t>
      </w:r>
      <w:r w:rsidR="00E25407" w:rsidRPr="00471DE0">
        <w:rPr>
          <w:rFonts w:ascii="Arial" w:eastAsia="Arial" w:hAnsi="Arial" w:cs="Arial"/>
          <w:sz w:val="22"/>
          <w:szCs w:val="22"/>
          <w:lang w:val="en" w:eastAsia="es-CO"/>
        </w:rPr>
        <w:t>1,</w:t>
      </w:r>
      <w:r w:rsidR="00AD42DD" w:rsidRPr="00471DE0">
        <w:rPr>
          <w:rFonts w:ascii="Arial" w:eastAsia="Arial" w:hAnsi="Arial" w:cs="Arial"/>
          <w:sz w:val="22"/>
          <w:szCs w:val="22"/>
          <w:lang w:val="en" w:eastAsia="es-CO"/>
        </w:rPr>
        <w:t xml:space="preserve"> 2020,</w:t>
      </w:r>
      <w:r w:rsidR="00E25407" w:rsidRPr="00471DE0">
        <w:rPr>
          <w:rFonts w:ascii="Arial" w:eastAsia="Arial" w:hAnsi="Arial" w:cs="Arial"/>
          <w:sz w:val="22"/>
          <w:szCs w:val="22"/>
          <w:lang w:val="en" w:eastAsia="es-CO"/>
        </w:rPr>
        <w:t xml:space="preserve"> </w:t>
      </w:r>
      <w:r w:rsidR="00AD42DD" w:rsidRPr="00471DE0">
        <w:rPr>
          <w:rFonts w:ascii="Arial" w:eastAsia="Arial" w:hAnsi="Arial" w:cs="Arial"/>
          <w:sz w:val="22"/>
          <w:szCs w:val="22"/>
          <w:lang w:val="en" w:eastAsia="es-CO"/>
        </w:rPr>
        <w:t xml:space="preserve">p. </w:t>
      </w:r>
      <w:r w:rsidR="00E25407" w:rsidRPr="00471DE0">
        <w:rPr>
          <w:rFonts w:ascii="Arial" w:eastAsia="Arial" w:hAnsi="Arial" w:cs="Arial"/>
          <w:sz w:val="22"/>
          <w:szCs w:val="22"/>
          <w:lang w:val="en" w:eastAsia="es-CO"/>
        </w:rPr>
        <w:t>1-12.</w:t>
      </w:r>
    </w:p>
    <w:p w14:paraId="14569ED7" w14:textId="093B065E" w:rsidR="00E25407" w:rsidRPr="006C0A5D" w:rsidRDefault="00E75E8F" w:rsidP="006C0A5D">
      <w:pPr>
        <w:ind w:left="720"/>
        <w:jc w:val="both"/>
        <w:rPr>
          <w:rFonts w:ascii="Arial" w:eastAsia="Arial" w:hAnsi="Arial" w:cs="Arial"/>
          <w:sz w:val="22"/>
          <w:szCs w:val="22"/>
          <w:lang w:eastAsia="es-CO"/>
        </w:rPr>
      </w:pPr>
      <w:hyperlink r:id="rId18" w:history="1">
        <w:r w:rsidRPr="00E25407">
          <w:rPr>
            <w:rStyle w:val="Hipervnculo"/>
            <w:rFonts w:ascii="Arial" w:hAnsi="Arial" w:cs="Arial"/>
            <w:sz w:val="22"/>
            <w:szCs w:val="22"/>
          </w:rPr>
          <w:t>https://doi.org/10.1038/s41467-020-18326-7</w:t>
        </w:r>
      </w:hyperlink>
    </w:p>
    <w:p w14:paraId="1DF2257C" w14:textId="77777777" w:rsidR="00104AA8" w:rsidRDefault="00104AA8" w:rsidP="00104AA8">
      <w:pPr>
        <w:ind w:left="720" w:hanging="720"/>
        <w:jc w:val="both"/>
        <w:rPr>
          <w:rFonts w:ascii="Arial" w:eastAsia="Arial" w:hAnsi="Arial" w:cs="Arial"/>
          <w:sz w:val="22"/>
          <w:szCs w:val="22"/>
          <w:lang w:val="en" w:eastAsia="es-CO"/>
        </w:rPr>
      </w:pPr>
      <w:r w:rsidRPr="00E75E8F">
        <w:rPr>
          <w:rFonts w:ascii="Arial" w:eastAsia="Arial" w:hAnsi="Arial" w:cs="Arial"/>
          <w:sz w:val="22"/>
          <w:szCs w:val="22"/>
          <w:lang w:eastAsia="es-CO"/>
        </w:rPr>
        <w:t>BLANCO-VARGAS, A.; RODRÍGUEZ-GACHA, L. M.</w:t>
      </w:r>
      <w:r>
        <w:rPr>
          <w:rFonts w:ascii="Arial" w:eastAsia="Arial" w:hAnsi="Arial" w:cs="Arial"/>
          <w:sz w:val="22"/>
          <w:szCs w:val="22"/>
          <w:lang w:eastAsia="es-CO"/>
        </w:rPr>
        <w:t>;</w:t>
      </w:r>
      <w:r w:rsidRPr="00E75E8F">
        <w:rPr>
          <w:rFonts w:ascii="Arial" w:eastAsia="Arial" w:hAnsi="Arial" w:cs="Arial"/>
          <w:sz w:val="22"/>
          <w:szCs w:val="22"/>
          <w:lang w:eastAsia="es-CO"/>
        </w:rPr>
        <w:t xml:space="preserve"> SÁNCHEZ-CASTRO, N.</w:t>
      </w:r>
      <w:r>
        <w:rPr>
          <w:rFonts w:ascii="Arial" w:eastAsia="Arial" w:hAnsi="Arial" w:cs="Arial"/>
          <w:sz w:val="22"/>
          <w:szCs w:val="22"/>
          <w:lang w:eastAsia="es-CO"/>
        </w:rPr>
        <w:t>;</w:t>
      </w:r>
      <w:r w:rsidRPr="00E75E8F">
        <w:rPr>
          <w:rFonts w:ascii="Arial" w:eastAsia="Arial" w:hAnsi="Arial" w:cs="Arial"/>
          <w:sz w:val="22"/>
          <w:szCs w:val="22"/>
          <w:lang w:eastAsia="es-CO"/>
        </w:rPr>
        <w:t xml:space="preserve"> GARZÓN-JARAMILLO, R.</w:t>
      </w:r>
      <w:r>
        <w:rPr>
          <w:rFonts w:ascii="Arial" w:eastAsia="Arial" w:hAnsi="Arial" w:cs="Arial"/>
          <w:sz w:val="22"/>
          <w:szCs w:val="22"/>
          <w:lang w:eastAsia="es-CO"/>
        </w:rPr>
        <w:t>;</w:t>
      </w:r>
      <w:r w:rsidRPr="00E75E8F">
        <w:rPr>
          <w:rFonts w:ascii="Arial" w:eastAsia="Arial" w:hAnsi="Arial" w:cs="Arial"/>
          <w:sz w:val="22"/>
          <w:szCs w:val="22"/>
          <w:lang w:eastAsia="es-CO"/>
        </w:rPr>
        <w:t xml:space="preserve"> PEDROZA-CAMACHO, L. D.</w:t>
      </w:r>
      <w:r>
        <w:rPr>
          <w:rFonts w:ascii="Arial" w:eastAsia="Arial" w:hAnsi="Arial" w:cs="Arial"/>
          <w:sz w:val="22"/>
          <w:szCs w:val="22"/>
          <w:lang w:eastAsia="es-CO"/>
        </w:rPr>
        <w:t>;</w:t>
      </w:r>
      <w:r w:rsidRPr="00E75E8F">
        <w:rPr>
          <w:rFonts w:ascii="Arial" w:eastAsia="Arial" w:hAnsi="Arial" w:cs="Arial"/>
          <w:sz w:val="22"/>
          <w:szCs w:val="22"/>
          <w:lang w:eastAsia="es-CO"/>
        </w:rPr>
        <w:t xml:space="preserve"> POUTOU-PIÑALES, R. A.</w:t>
      </w:r>
      <w:r>
        <w:rPr>
          <w:rFonts w:ascii="Arial" w:eastAsia="Arial" w:hAnsi="Arial" w:cs="Arial"/>
          <w:sz w:val="22"/>
          <w:szCs w:val="22"/>
          <w:lang w:eastAsia="es-CO"/>
        </w:rPr>
        <w:t>;</w:t>
      </w:r>
      <w:r w:rsidRPr="00E75E8F">
        <w:rPr>
          <w:rFonts w:ascii="Arial" w:eastAsia="Arial" w:hAnsi="Arial" w:cs="Arial"/>
          <w:sz w:val="22"/>
          <w:szCs w:val="22"/>
          <w:lang w:eastAsia="es-CO"/>
        </w:rPr>
        <w:t xml:space="preserve"> ... </w:t>
      </w:r>
      <w:r w:rsidRPr="00104AA8">
        <w:rPr>
          <w:rFonts w:ascii="Arial" w:eastAsia="Arial" w:hAnsi="Arial" w:cs="Arial"/>
          <w:sz w:val="22"/>
          <w:szCs w:val="22"/>
          <w:lang w:eastAsia="es-CO"/>
        </w:rPr>
        <w:t>&amp; PEDROZA-RODRÍGUEZ, A. M</w:t>
      </w:r>
      <w:r w:rsidR="00C27683" w:rsidRPr="00104AA8">
        <w:rPr>
          <w:rFonts w:ascii="Arial" w:eastAsia="Arial" w:hAnsi="Arial" w:cs="Arial"/>
          <w:sz w:val="22"/>
          <w:szCs w:val="22"/>
          <w:lang w:eastAsia="es-CO"/>
        </w:rPr>
        <w:t xml:space="preserve">. (2020). </w:t>
      </w:r>
      <w:r w:rsidR="00C27683" w:rsidRPr="00471DE0">
        <w:rPr>
          <w:rFonts w:ascii="Arial" w:eastAsia="Arial" w:hAnsi="Arial" w:cs="Arial"/>
          <w:sz w:val="22"/>
          <w:szCs w:val="22"/>
          <w:lang w:val="en" w:eastAsia="es-CO"/>
        </w:rPr>
        <w:t xml:space="preserve">Phosphate-solubilizing </w:t>
      </w:r>
      <w:r w:rsidR="00C27683" w:rsidRPr="00E75E8F">
        <w:rPr>
          <w:rFonts w:ascii="Arial" w:eastAsia="Arial" w:hAnsi="Arial" w:cs="Arial"/>
          <w:i/>
          <w:iCs/>
          <w:sz w:val="22"/>
          <w:szCs w:val="22"/>
          <w:lang w:val="en" w:eastAsia="es-CO"/>
        </w:rPr>
        <w:t>Pseudomonas</w:t>
      </w:r>
      <w:r w:rsidR="00C27683" w:rsidRPr="00471DE0">
        <w:rPr>
          <w:rFonts w:ascii="Arial" w:eastAsia="Arial" w:hAnsi="Arial" w:cs="Arial"/>
          <w:sz w:val="22"/>
          <w:szCs w:val="22"/>
          <w:lang w:val="en" w:eastAsia="es-CO"/>
        </w:rPr>
        <w:t xml:space="preserve"> sp., and </w:t>
      </w:r>
      <w:r w:rsidR="00C27683" w:rsidRPr="00E75E8F">
        <w:rPr>
          <w:rFonts w:ascii="Arial" w:eastAsia="Arial" w:hAnsi="Arial" w:cs="Arial"/>
          <w:i/>
          <w:iCs/>
          <w:sz w:val="22"/>
          <w:szCs w:val="22"/>
          <w:lang w:val="en" w:eastAsia="es-CO"/>
        </w:rPr>
        <w:t>Serratia</w:t>
      </w:r>
      <w:r w:rsidR="00C27683" w:rsidRPr="00471DE0">
        <w:rPr>
          <w:rFonts w:ascii="Arial" w:eastAsia="Arial" w:hAnsi="Arial" w:cs="Arial"/>
          <w:sz w:val="22"/>
          <w:szCs w:val="22"/>
          <w:lang w:val="en" w:eastAsia="es-CO"/>
        </w:rPr>
        <w:t xml:space="preserve"> sp., co-culture for </w:t>
      </w:r>
      <w:r w:rsidR="00C27683" w:rsidRPr="00E75E8F">
        <w:rPr>
          <w:rFonts w:ascii="Arial" w:eastAsia="Arial" w:hAnsi="Arial" w:cs="Arial"/>
          <w:i/>
          <w:iCs/>
          <w:sz w:val="22"/>
          <w:szCs w:val="22"/>
          <w:lang w:val="en" w:eastAsia="es-CO"/>
        </w:rPr>
        <w:t>Allium cepa</w:t>
      </w:r>
      <w:r w:rsidR="00C27683" w:rsidRPr="00471DE0">
        <w:rPr>
          <w:rFonts w:ascii="Arial" w:eastAsia="Arial" w:hAnsi="Arial" w:cs="Arial"/>
          <w:sz w:val="22"/>
          <w:szCs w:val="22"/>
          <w:lang w:val="en" w:eastAsia="es-CO"/>
        </w:rPr>
        <w:t xml:space="preserve"> L. growth promotion.</w:t>
      </w:r>
      <w:r w:rsidR="00C27683" w:rsidRPr="00471DE0">
        <w:rPr>
          <w:rFonts w:eastAsia="Arial"/>
          <w:lang w:val="en" w:eastAsia="es-CO"/>
        </w:rPr>
        <w:t> </w:t>
      </w:r>
      <w:proofErr w:type="spellStart"/>
      <w:r w:rsidR="00C27683" w:rsidRPr="00471DE0">
        <w:rPr>
          <w:rFonts w:ascii="Arial" w:eastAsia="Arial" w:hAnsi="Arial" w:cs="Arial"/>
          <w:sz w:val="22"/>
          <w:szCs w:val="22"/>
          <w:lang w:val="en" w:eastAsia="es-CO"/>
        </w:rPr>
        <w:t>Heliyon</w:t>
      </w:r>
      <w:proofErr w:type="spellEnd"/>
      <w:r w:rsidR="00C27683" w:rsidRPr="00471DE0">
        <w:rPr>
          <w:rFonts w:ascii="Arial" w:eastAsia="Arial" w:hAnsi="Arial" w:cs="Arial"/>
          <w:sz w:val="22"/>
          <w:szCs w:val="22"/>
          <w:lang w:val="en" w:eastAsia="es-CO"/>
        </w:rPr>
        <w:t>,</w:t>
      </w:r>
      <w:r w:rsidR="00C27683" w:rsidRPr="00471DE0">
        <w:rPr>
          <w:rFonts w:eastAsia="Arial"/>
          <w:lang w:val="en" w:eastAsia="es-CO"/>
        </w:rPr>
        <w:t> </w:t>
      </w:r>
      <w:r w:rsidR="00A4798B" w:rsidRPr="00A4798B">
        <w:rPr>
          <w:rFonts w:ascii="Arial" w:eastAsia="Arial" w:hAnsi="Arial" w:cs="Arial"/>
          <w:sz w:val="22"/>
          <w:szCs w:val="22"/>
          <w:lang w:val="en" w:eastAsia="es-CO"/>
        </w:rPr>
        <w:t xml:space="preserve">v. </w:t>
      </w:r>
      <w:r w:rsidR="00C27683" w:rsidRPr="00A4798B">
        <w:rPr>
          <w:rFonts w:ascii="Arial" w:eastAsia="Arial" w:hAnsi="Arial" w:cs="Arial"/>
          <w:sz w:val="22"/>
          <w:szCs w:val="22"/>
          <w:lang w:val="en" w:eastAsia="es-CO"/>
        </w:rPr>
        <w:t>6</w:t>
      </w:r>
      <w:r w:rsidR="00A4798B">
        <w:rPr>
          <w:rFonts w:ascii="Arial" w:eastAsia="Arial" w:hAnsi="Arial" w:cs="Arial"/>
          <w:sz w:val="22"/>
          <w:szCs w:val="22"/>
          <w:lang w:val="en" w:eastAsia="es-CO"/>
        </w:rPr>
        <w:t>, n.</w:t>
      </w:r>
      <w:r w:rsidR="00C27683" w:rsidRPr="00471DE0">
        <w:rPr>
          <w:rFonts w:ascii="Arial" w:eastAsia="Arial" w:hAnsi="Arial" w:cs="Arial"/>
          <w:sz w:val="22"/>
          <w:szCs w:val="22"/>
          <w:lang w:val="en" w:eastAsia="es-CO"/>
        </w:rPr>
        <w:t xml:space="preserve">10, </w:t>
      </w:r>
      <w:r w:rsidR="00A4798B">
        <w:rPr>
          <w:rFonts w:ascii="Arial" w:eastAsia="Arial" w:hAnsi="Arial" w:cs="Arial"/>
          <w:sz w:val="22"/>
          <w:szCs w:val="22"/>
          <w:lang w:val="en" w:eastAsia="es-CO"/>
        </w:rPr>
        <w:t>2020, p.</w:t>
      </w:r>
      <w:r w:rsidR="006E2084">
        <w:rPr>
          <w:rFonts w:ascii="Arial" w:eastAsia="Arial" w:hAnsi="Arial" w:cs="Arial"/>
          <w:sz w:val="22"/>
          <w:szCs w:val="22"/>
          <w:lang w:val="en" w:eastAsia="es-CO"/>
        </w:rPr>
        <w:t>e0</w:t>
      </w:r>
      <w:r w:rsidR="00C27683" w:rsidRPr="00471DE0">
        <w:rPr>
          <w:rFonts w:ascii="Arial" w:eastAsia="Arial" w:hAnsi="Arial" w:cs="Arial"/>
          <w:sz w:val="22"/>
          <w:szCs w:val="22"/>
          <w:lang w:val="en" w:eastAsia="es-CO"/>
        </w:rPr>
        <w:t>5218.</w:t>
      </w:r>
    </w:p>
    <w:p w14:paraId="37167D97" w14:textId="386FF5E7" w:rsidR="00C27683" w:rsidRPr="006C0A5D" w:rsidRDefault="006C0A5D" w:rsidP="006C0A5D">
      <w:pPr>
        <w:ind w:left="720"/>
        <w:jc w:val="both"/>
        <w:rPr>
          <w:rStyle w:val="Hipervnculo"/>
          <w:rFonts w:ascii="Arial" w:eastAsia="Arial" w:hAnsi="Arial" w:cs="Arial"/>
          <w:color w:val="auto"/>
          <w:sz w:val="22"/>
          <w:szCs w:val="22"/>
          <w:u w:val="none"/>
          <w:lang w:val="en" w:eastAsia="es-CO"/>
        </w:rPr>
      </w:pPr>
      <w:hyperlink r:id="rId19" w:history="1">
        <w:r w:rsidRPr="003B63C3">
          <w:rPr>
            <w:rStyle w:val="Hipervnculo"/>
            <w:rFonts w:ascii="Arial" w:hAnsi="Arial" w:cs="Arial"/>
            <w:sz w:val="22"/>
            <w:szCs w:val="22"/>
            <w:lang w:val="en-US"/>
          </w:rPr>
          <w:t>https://doi.org/10.1016/j.heliyon.2020.e05218</w:t>
        </w:r>
      </w:hyperlink>
    </w:p>
    <w:p w14:paraId="25E513C0" w14:textId="1427F4AE" w:rsidR="004942CE" w:rsidRPr="00471DE0" w:rsidRDefault="002C6A02" w:rsidP="00471DE0">
      <w:pPr>
        <w:ind w:left="720" w:hanging="720"/>
        <w:jc w:val="both"/>
        <w:rPr>
          <w:rFonts w:ascii="Arial" w:eastAsia="Arial" w:hAnsi="Arial" w:cs="Arial"/>
          <w:sz w:val="22"/>
          <w:szCs w:val="22"/>
          <w:lang w:val="en" w:eastAsia="es-CO"/>
        </w:rPr>
      </w:pPr>
      <w:r w:rsidRPr="00471DE0">
        <w:rPr>
          <w:rFonts w:ascii="Arial" w:eastAsia="Arial" w:hAnsi="Arial" w:cs="Arial"/>
          <w:sz w:val="22"/>
          <w:szCs w:val="22"/>
          <w:lang w:val="en" w:eastAsia="es-CO"/>
        </w:rPr>
        <w:t>BASHAN, Y.</w:t>
      </w:r>
      <w:r w:rsidR="001D38FB">
        <w:rPr>
          <w:rFonts w:ascii="Arial" w:eastAsia="Arial" w:hAnsi="Arial" w:cs="Arial"/>
          <w:sz w:val="22"/>
          <w:szCs w:val="22"/>
          <w:lang w:val="en" w:eastAsia="es-CO"/>
        </w:rPr>
        <w:t>;</w:t>
      </w:r>
      <w:r w:rsidRPr="00471DE0">
        <w:rPr>
          <w:rFonts w:ascii="Arial" w:eastAsia="Arial" w:hAnsi="Arial" w:cs="Arial"/>
          <w:sz w:val="22"/>
          <w:szCs w:val="22"/>
          <w:lang w:val="en" w:eastAsia="es-CO"/>
        </w:rPr>
        <w:t xml:space="preserve"> KAMNEV, A.</w:t>
      </w:r>
      <w:r w:rsidR="001D38FB">
        <w:rPr>
          <w:rFonts w:ascii="Arial" w:eastAsia="Arial" w:hAnsi="Arial" w:cs="Arial"/>
          <w:sz w:val="22"/>
          <w:szCs w:val="22"/>
          <w:lang w:val="en" w:eastAsia="es-CO"/>
        </w:rPr>
        <w:t>;</w:t>
      </w:r>
      <w:r w:rsidRPr="00471DE0">
        <w:rPr>
          <w:rFonts w:ascii="Arial" w:eastAsia="Arial" w:hAnsi="Arial" w:cs="Arial"/>
          <w:sz w:val="22"/>
          <w:szCs w:val="22"/>
          <w:lang w:val="en" w:eastAsia="es-CO"/>
        </w:rPr>
        <w:t xml:space="preserve"> DE-BASHAN, L.E. </w:t>
      </w:r>
      <w:r w:rsidR="000E7723" w:rsidRPr="00471DE0">
        <w:rPr>
          <w:rFonts w:ascii="Arial" w:eastAsia="Arial" w:hAnsi="Arial" w:cs="Arial"/>
          <w:sz w:val="22"/>
          <w:szCs w:val="22"/>
          <w:lang w:val="en" w:eastAsia="es-CO"/>
        </w:rPr>
        <w:t xml:space="preserve">Tricalcium phosphate is inappropriate as a universal selection factor for isolating and testing phosphate-solubilizing bacteria that enhance plant growth: A proposal for an alternative procedure. Biology </w:t>
      </w:r>
      <w:r w:rsidR="006C0A5D">
        <w:rPr>
          <w:rFonts w:ascii="Arial" w:eastAsia="Arial" w:hAnsi="Arial" w:cs="Arial"/>
          <w:sz w:val="22"/>
          <w:szCs w:val="22"/>
          <w:lang w:val="en" w:eastAsia="es-CO"/>
        </w:rPr>
        <w:t xml:space="preserve">and </w:t>
      </w:r>
      <w:r w:rsidR="000E7723" w:rsidRPr="00471DE0">
        <w:rPr>
          <w:rFonts w:ascii="Arial" w:eastAsia="Arial" w:hAnsi="Arial" w:cs="Arial"/>
          <w:sz w:val="22"/>
          <w:szCs w:val="22"/>
          <w:lang w:val="en" w:eastAsia="es-CO"/>
        </w:rPr>
        <w:t>Fertil</w:t>
      </w:r>
      <w:r w:rsidR="006C0A5D">
        <w:rPr>
          <w:rFonts w:ascii="Arial" w:eastAsia="Arial" w:hAnsi="Arial" w:cs="Arial"/>
          <w:sz w:val="22"/>
          <w:szCs w:val="22"/>
          <w:lang w:val="en" w:eastAsia="es-CO"/>
        </w:rPr>
        <w:t>ity of</w:t>
      </w:r>
      <w:r w:rsidR="000E7723" w:rsidRPr="00471DE0">
        <w:rPr>
          <w:rFonts w:ascii="Arial" w:eastAsia="Arial" w:hAnsi="Arial" w:cs="Arial"/>
          <w:sz w:val="22"/>
          <w:szCs w:val="22"/>
          <w:lang w:val="en" w:eastAsia="es-CO"/>
        </w:rPr>
        <w:t xml:space="preserve"> Soils</w:t>
      </w:r>
      <w:r w:rsidR="006C0A5D">
        <w:rPr>
          <w:rFonts w:ascii="Arial" w:eastAsia="Arial" w:hAnsi="Arial" w:cs="Arial"/>
          <w:sz w:val="22"/>
          <w:szCs w:val="22"/>
          <w:lang w:val="en" w:eastAsia="es-CO"/>
        </w:rPr>
        <w:t>,</w:t>
      </w:r>
      <w:r w:rsidR="000E7723" w:rsidRPr="00471DE0">
        <w:rPr>
          <w:rFonts w:ascii="Arial" w:eastAsia="Arial" w:hAnsi="Arial" w:cs="Arial"/>
          <w:sz w:val="22"/>
          <w:szCs w:val="22"/>
          <w:lang w:val="en" w:eastAsia="es-CO"/>
        </w:rPr>
        <w:t xml:space="preserve"> </w:t>
      </w:r>
      <w:r w:rsidR="006C0A5D">
        <w:rPr>
          <w:rFonts w:ascii="Arial" w:eastAsia="Arial" w:hAnsi="Arial" w:cs="Arial"/>
          <w:sz w:val="22"/>
          <w:szCs w:val="22"/>
          <w:lang w:val="en" w:eastAsia="es-CO"/>
        </w:rPr>
        <w:t xml:space="preserve">v. </w:t>
      </w:r>
      <w:r w:rsidR="000E7723" w:rsidRPr="00471DE0">
        <w:rPr>
          <w:rFonts w:ascii="Arial" w:eastAsia="Arial" w:hAnsi="Arial" w:cs="Arial"/>
          <w:sz w:val="22"/>
          <w:szCs w:val="22"/>
          <w:lang w:val="en" w:eastAsia="es-CO"/>
        </w:rPr>
        <w:t>49</w:t>
      </w:r>
      <w:r w:rsidR="006C0A5D">
        <w:rPr>
          <w:rFonts w:ascii="Arial" w:eastAsia="Arial" w:hAnsi="Arial" w:cs="Arial"/>
          <w:sz w:val="22"/>
          <w:szCs w:val="22"/>
          <w:lang w:val="en" w:eastAsia="es-CO"/>
        </w:rPr>
        <w:t xml:space="preserve">, n. </w:t>
      </w:r>
      <w:r w:rsidR="000E7723" w:rsidRPr="00471DE0">
        <w:rPr>
          <w:rFonts w:ascii="Arial" w:eastAsia="Arial" w:hAnsi="Arial" w:cs="Arial"/>
          <w:sz w:val="22"/>
          <w:szCs w:val="22"/>
          <w:lang w:val="en" w:eastAsia="es-CO"/>
        </w:rPr>
        <w:t xml:space="preserve">4, 2013, </w:t>
      </w:r>
      <w:r w:rsidR="006C0A5D">
        <w:rPr>
          <w:rFonts w:ascii="Arial" w:eastAsia="Arial" w:hAnsi="Arial" w:cs="Arial"/>
          <w:sz w:val="22"/>
          <w:szCs w:val="22"/>
          <w:lang w:val="en" w:eastAsia="es-CO"/>
        </w:rPr>
        <w:t xml:space="preserve">p. </w:t>
      </w:r>
      <w:r w:rsidR="000E7723" w:rsidRPr="00471DE0">
        <w:rPr>
          <w:rFonts w:ascii="Arial" w:eastAsia="Arial" w:hAnsi="Arial" w:cs="Arial"/>
          <w:sz w:val="22"/>
          <w:szCs w:val="22"/>
          <w:lang w:val="en" w:eastAsia="es-CO"/>
        </w:rPr>
        <w:t xml:space="preserve">465–479. </w:t>
      </w:r>
    </w:p>
    <w:p w14:paraId="3D5EF28C" w14:textId="24A75FC8" w:rsidR="000E7723" w:rsidRPr="00555447" w:rsidRDefault="006C0A5D" w:rsidP="006C0A5D">
      <w:pPr>
        <w:widowControl w:val="0"/>
        <w:autoSpaceDE w:val="0"/>
        <w:autoSpaceDN w:val="0"/>
        <w:adjustRightInd w:val="0"/>
        <w:ind w:left="480" w:firstLine="240"/>
        <w:jc w:val="both"/>
        <w:rPr>
          <w:rFonts w:ascii="Arial" w:hAnsi="Arial" w:cs="Arial"/>
          <w:noProof/>
          <w:sz w:val="22"/>
          <w:szCs w:val="22"/>
          <w:lang w:val="en-US"/>
        </w:rPr>
      </w:pPr>
      <w:r>
        <w:rPr>
          <w:rFonts w:ascii="Arial" w:hAnsi="Arial" w:cs="Arial"/>
          <w:noProof/>
          <w:sz w:val="22"/>
          <w:szCs w:val="22"/>
          <w:lang w:val="en-US"/>
        </w:rPr>
        <w:fldChar w:fldCharType="begin"/>
      </w:r>
      <w:r>
        <w:rPr>
          <w:rFonts w:ascii="Arial" w:hAnsi="Arial" w:cs="Arial"/>
          <w:noProof/>
          <w:sz w:val="22"/>
          <w:szCs w:val="22"/>
          <w:lang w:val="en-US"/>
        </w:rPr>
        <w:instrText xml:space="preserve"> HYPERLINK "</w:instrText>
      </w:r>
      <w:r w:rsidRPr="006C0A5D">
        <w:rPr>
          <w:rFonts w:ascii="Arial" w:hAnsi="Arial" w:cs="Arial"/>
          <w:noProof/>
          <w:sz w:val="22"/>
          <w:szCs w:val="22"/>
          <w:lang w:val="en-US"/>
        </w:rPr>
        <w:instrText>http://doi.org/10.1007/s00374-012-0737-7</w:instrText>
      </w:r>
      <w:r>
        <w:rPr>
          <w:rFonts w:ascii="Arial" w:hAnsi="Arial" w:cs="Arial"/>
          <w:noProof/>
          <w:sz w:val="22"/>
          <w:szCs w:val="22"/>
          <w:lang w:val="en-US"/>
        </w:rPr>
        <w:instrText xml:space="preserve">" </w:instrText>
      </w:r>
      <w:r>
        <w:rPr>
          <w:rFonts w:ascii="Arial" w:hAnsi="Arial" w:cs="Arial"/>
          <w:noProof/>
          <w:sz w:val="22"/>
          <w:szCs w:val="22"/>
          <w:lang w:val="en-US"/>
        </w:rPr>
        <w:fldChar w:fldCharType="separate"/>
      </w:r>
      <w:r w:rsidRPr="003B63C3">
        <w:rPr>
          <w:rStyle w:val="Hipervnculo"/>
          <w:rFonts w:ascii="Arial" w:hAnsi="Arial" w:cs="Arial"/>
          <w:noProof/>
          <w:sz w:val="22"/>
          <w:szCs w:val="22"/>
          <w:lang w:val="en-US"/>
        </w:rPr>
        <w:t>http://doi.org/10.1007/s00374-012-0737-7</w:t>
      </w:r>
      <w:r>
        <w:rPr>
          <w:rFonts w:ascii="Arial" w:hAnsi="Arial" w:cs="Arial"/>
          <w:noProof/>
          <w:sz w:val="22"/>
          <w:szCs w:val="22"/>
          <w:lang w:val="en-US"/>
        </w:rPr>
        <w:fldChar w:fldCharType="end"/>
      </w:r>
    </w:p>
    <w:p w14:paraId="50034303" w14:textId="6D49168E" w:rsidR="000E7723" w:rsidRPr="00555447" w:rsidRDefault="002C6A02" w:rsidP="00471DE0">
      <w:pPr>
        <w:ind w:left="720" w:hanging="720"/>
        <w:jc w:val="both"/>
        <w:rPr>
          <w:rStyle w:val="Hipervnculo"/>
          <w:rFonts w:ascii="Arial" w:hAnsi="Arial" w:cs="Arial"/>
          <w:sz w:val="22"/>
          <w:szCs w:val="22"/>
          <w:lang w:val="en-US"/>
        </w:rPr>
      </w:pPr>
      <w:r w:rsidRPr="00555447">
        <w:rPr>
          <w:rFonts w:ascii="Arial" w:hAnsi="Arial" w:cs="Arial"/>
          <w:noProof/>
          <w:sz w:val="22"/>
          <w:szCs w:val="22"/>
          <w:lang w:val="en-US"/>
        </w:rPr>
        <w:lastRenderedPageBreak/>
        <w:t>BEN, A.</w:t>
      </w:r>
      <w:r w:rsidR="001D38FB">
        <w:rPr>
          <w:rFonts w:ascii="Arial" w:hAnsi="Arial" w:cs="Arial"/>
          <w:noProof/>
          <w:sz w:val="22"/>
          <w:szCs w:val="22"/>
          <w:lang w:val="en-US"/>
        </w:rPr>
        <w:t>;</w:t>
      </w:r>
      <w:r w:rsidRPr="00555447">
        <w:rPr>
          <w:rFonts w:ascii="Arial" w:hAnsi="Arial" w:cs="Arial"/>
          <w:noProof/>
          <w:sz w:val="22"/>
          <w:szCs w:val="22"/>
          <w:lang w:val="en-US"/>
        </w:rPr>
        <w:t xml:space="preserve"> TRABELSI, D.</w:t>
      </w:r>
      <w:r w:rsidR="001D38FB">
        <w:rPr>
          <w:rFonts w:ascii="Arial" w:hAnsi="Arial" w:cs="Arial"/>
          <w:noProof/>
          <w:sz w:val="22"/>
          <w:szCs w:val="22"/>
          <w:lang w:val="en-US"/>
        </w:rPr>
        <w:t>;</w:t>
      </w:r>
      <w:r w:rsidRPr="00555447">
        <w:rPr>
          <w:rFonts w:ascii="Arial" w:hAnsi="Arial" w:cs="Arial"/>
          <w:noProof/>
          <w:sz w:val="22"/>
          <w:szCs w:val="22"/>
          <w:lang w:val="en-US"/>
        </w:rPr>
        <w:t xml:space="preserve"> AYACHI, I.</w:t>
      </w:r>
      <w:r w:rsidR="001D38FB">
        <w:rPr>
          <w:rFonts w:ascii="Arial" w:hAnsi="Arial" w:cs="Arial"/>
          <w:noProof/>
          <w:sz w:val="22"/>
          <w:szCs w:val="22"/>
          <w:lang w:val="en-US"/>
        </w:rPr>
        <w:t>;</w:t>
      </w:r>
      <w:r w:rsidRPr="00555447">
        <w:rPr>
          <w:rFonts w:ascii="Arial" w:hAnsi="Arial" w:cs="Arial"/>
          <w:noProof/>
          <w:sz w:val="22"/>
          <w:szCs w:val="22"/>
          <w:lang w:val="en-US"/>
        </w:rPr>
        <w:t xml:space="preserve"> BARHOUMI, F.</w:t>
      </w:r>
      <w:r w:rsidR="001D38FB">
        <w:rPr>
          <w:rFonts w:ascii="Arial" w:hAnsi="Arial" w:cs="Arial"/>
          <w:noProof/>
          <w:sz w:val="22"/>
          <w:szCs w:val="22"/>
          <w:lang w:val="en-US"/>
        </w:rPr>
        <w:t>;</w:t>
      </w:r>
      <w:r w:rsidRPr="00555447">
        <w:rPr>
          <w:rFonts w:ascii="Arial" w:hAnsi="Arial" w:cs="Arial"/>
          <w:noProof/>
          <w:sz w:val="22"/>
          <w:szCs w:val="22"/>
          <w:lang w:val="en-US"/>
        </w:rPr>
        <w:t xml:space="preserve"> AROCA, R.</w:t>
      </w:r>
      <w:r w:rsidR="001D38FB">
        <w:rPr>
          <w:rFonts w:ascii="Arial" w:hAnsi="Arial" w:cs="Arial"/>
          <w:noProof/>
          <w:sz w:val="22"/>
          <w:szCs w:val="22"/>
          <w:lang w:val="en-US"/>
        </w:rPr>
        <w:t>;</w:t>
      </w:r>
      <w:r w:rsidRPr="00555447">
        <w:rPr>
          <w:rFonts w:ascii="Arial" w:hAnsi="Arial" w:cs="Arial"/>
          <w:noProof/>
          <w:sz w:val="22"/>
          <w:szCs w:val="22"/>
          <w:lang w:val="en-US"/>
        </w:rPr>
        <w:t xml:space="preserve"> MHAMDI, R. </w:t>
      </w:r>
      <w:r w:rsidR="000E7723" w:rsidRPr="00555447">
        <w:rPr>
          <w:rFonts w:ascii="Arial" w:hAnsi="Arial" w:cs="Arial"/>
          <w:noProof/>
          <w:sz w:val="22"/>
          <w:szCs w:val="22"/>
          <w:lang w:val="en-US"/>
        </w:rPr>
        <w:t xml:space="preserve">Inoculation with </w:t>
      </w:r>
      <w:r w:rsidR="000E7723" w:rsidRPr="00471DE0">
        <w:rPr>
          <w:rFonts w:ascii="Arial" w:eastAsia="Arial" w:hAnsi="Arial" w:cs="Arial"/>
          <w:sz w:val="22"/>
          <w:szCs w:val="22"/>
          <w:lang w:val="en" w:eastAsia="es-CO"/>
        </w:rPr>
        <w:t>elite strains of phosphate-solubilizing bacteria enhances the effectiveness of fertilization with</w:t>
      </w:r>
      <w:r w:rsidR="000E7723" w:rsidRPr="00555447">
        <w:rPr>
          <w:rFonts w:ascii="Arial" w:hAnsi="Arial" w:cs="Arial"/>
          <w:noProof/>
          <w:sz w:val="22"/>
          <w:szCs w:val="22"/>
          <w:lang w:val="en-US"/>
        </w:rPr>
        <w:t xml:space="preserve"> rock phosphates. Geomicrobiol</w:t>
      </w:r>
      <w:r w:rsidR="004D700B">
        <w:rPr>
          <w:rFonts w:ascii="Arial" w:hAnsi="Arial" w:cs="Arial"/>
          <w:noProof/>
          <w:sz w:val="22"/>
          <w:szCs w:val="22"/>
          <w:lang w:val="en-US"/>
        </w:rPr>
        <w:t>ogy</w:t>
      </w:r>
      <w:r w:rsidR="000E7723" w:rsidRPr="00555447">
        <w:rPr>
          <w:rFonts w:ascii="Arial" w:hAnsi="Arial" w:cs="Arial"/>
          <w:noProof/>
          <w:sz w:val="22"/>
          <w:szCs w:val="22"/>
          <w:lang w:val="en-US"/>
        </w:rPr>
        <w:t xml:space="preserve"> J</w:t>
      </w:r>
      <w:r w:rsidR="004D700B">
        <w:rPr>
          <w:rFonts w:ascii="Arial" w:hAnsi="Arial" w:cs="Arial"/>
          <w:noProof/>
          <w:sz w:val="22"/>
          <w:szCs w:val="22"/>
          <w:lang w:val="en-US"/>
        </w:rPr>
        <w:t xml:space="preserve">ournal, </w:t>
      </w:r>
      <w:r w:rsidR="000E7723" w:rsidRPr="00555447">
        <w:rPr>
          <w:rFonts w:ascii="Arial" w:hAnsi="Arial" w:cs="Arial"/>
          <w:noProof/>
          <w:sz w:val="22"/>
          <w:szCs w:val="22"/>
          <w:lang w:val="en-US"/>
        </w:rPr>
        <w:t> </w:t>
      </w:r>
      <w:r w:rsidR="004D700B">
        <w:rPr>
          <w:rFonts w:ascii="Arial" w:hAnsi="Arial" w:cs="Arial"/>
          <w:noProof/>
          <w:sz w:val="22"/>
          <w:szCs w:val="22"/>
          <w:lang w:val="en-US"/>
        </w:rPr>
        <w:t xml:space="preserve">v. </w:t>
      </w:r>
      <w:r w:rsidR="000E7723" w:rsidRPr="00555447">
        <w:rPr>
          <w:rFonts w:ascii="Arial" w:hAnsi="Arial" w:cs="Arial"/>
          <w:noProof/>
          <w:sz w:val="22"/>
          <w:szCs w:val="22"/>
          <w:lang w:val="en-US"/>
        </w:rPr>
        <w:t>37</w:t>
      </w:r>
      <w:r w:rsidR="004D700B">
        <w:rPr>
          <w:rFonts w:ascii="Arial" w:hAnsi="Arial" w:cs="Arial"/>
          <w:noProof/>
          <w:sz w:val="22"/>
          <w:szCs w:val="22"/>
          <w:lang w:val="en-US"/>
        </w:rPr>
        <w:t xml:space="preserve">, n. </w:t>
      </w:r>
      <w:r w:rsidR="000E7723" w:rsidRPr="00555447">
        <w:rPr>
          <w:rFonts w:ascii="Arial" w:hAnsi="Arial" w:cs="Arial"/>
          <w:noProof/>
          <w:sz w:val="22"/>
          <w:szCs w:val="22"/>
          <w:lang w:val="en-US"/>
        </w:rPr>
        <w:t xml:space="preserve">1, 2020, </w:t>
      </w:r>
      <w:r w:rsidR="004D700B">
        <w:rPr>
          <w:rFonts w:ascii="Arial" w:hAnsi="Arial" w:cs="Arial"/>
          <w:noProof/>
          <w:sz w:val="22"/>
          <w:szCs w:val="22"/>
          <w:lang w:val="en-US"/>
        </w:rPr>
        <w:t xml:space="preserve">p. </w:t>
      </w:r>
      <w:r w:rsidR="000E7723" w:rsidRPr="00555447">
        <w:rPr>
          <w:rFonts w:ascii="Arial" w:hAnsi="Arial" w:cs="Arial"/>
          <w:noProof/>
          <w:sz w:val="22"/>
          <w:szCs w:val="22"/>
          <w:lang w:val="en-US"/>
        </w:rPr>
        <w:t xml:space="preserve">22-30. </w:t>
      </w:r>
      <w:r w:rsidR="000E7723" w:rsidRPr="00555447">
        <w:rPr>
          <w:rStyle w:val="Hipervnculo"/>
          <w:rFonts w:ascii="Arial" w:hAnsi="Arial" w:cs="Arial"/>
          <w:sz w:val="22"/>
          <w:szCs w:val="22"/>
          <w:lang w:val="en-US"/>
        </w:rPr>
        <w:t>https://</w:t>
      </w:r>
      <w:hyperlink r:id="rId20" w:history="1">
        <w:r w:rsidR="000E7723" w:rsidRPr="00555447">
          <w:rPr>
            <w:rStyle w:val="Hipervnculo"/>
            <w:rFonts w:ascii="Arial" w:hAnsi="Arial" w:cs="Arial"/>
            <w:sz w:val="22"/>
            <w:szCs w:val="22"/>
            <w:lang w:val="en-US"/>
          </w:rPr>
          <w:t>doi.org/10.1080/01490451.2019.1658826</w:t>
        </w:r>
      </w:hyperlink>
    </w:p>
    <w:p w14:paraId="45DAFF29" w14:textId="4C49326A" w:rsidR="004942CE" w:rsidRPr="00555447" w:rsidRDefault="002C6A02" w:rsidP="0096689F">
      <w:pPr>
        <w:ind w:left="720" w:hanging="720"/>
        <w:jc w:val="both"/>
        <w:rPr>
          <w:rFonts w:ascii="Arial" w:hAnsi="Arial" w:cs="Arial"/>
          <w:noProof/>
          <w:sz w:val="22"/>
          <w:szCs w:val="22"/>
          <w:lang w:val="en-US"/>
        </w:rPr>
      </w:pPr>
      <w:r w:rsidRPr="00555447">
        <w:rPr>
          <w:rFonts w:ascii="Arial" w:hAnsi="Arial" w:cs="Arial"/>
          <w:noProof/>
          <w:sz w:val="22"/>
          <w:szCs w:val="22"/>
          <w:lang w:val="en-US"/>
        </w:rPr>
        <w:t>BILLAH, M.</w:t>
      </w:r>
      <w:r w:rsidR="001D38FB">
        <w:rPr>
          <w:rFonts w:ascii="Arial" w:hAnsi="Arial" w:cs="Arial"/>
          <w:noProof/>
          <w:sz w:val="22"/>
          <w:szCs w:val="22"/>
          <w:lang w:val="en-US"/>
        </w:rPr>
        <w:t>;</w:t>
      </w:r>
      <w:r w:rsidRPr="00555447">
        <w:rPr>
          <w:rFonts w:ascii="Arial" w:hAnsi="Arial" w:cs="Arial"/>
          <w:noProof/>
          <w:sz w:val="22"/>
          <w:szCs w:val="22"/>
          <w:lang w:val="en-US"/>
        </w:rPr>
        <w:t xml:space="preserve"> KHAN, M.</w:t>
      </w:r>
      <w:r w:rsidR="001D38FB">
        <w:rPr>
          <w:rFonts w:ascii="Arial" w:hAnsi="Arial" w:cs="Arial"/>
          <w:noProof/>
          <w:sz w:val="22"/>
          <w:szCs w:val="22"/>
          <w:lang w:val="en-US"/>
        </w:rPr>
        <w:t>;</w:t>
      </w:r>
      <w:r w:rsidRPr="00555447">
        <w:rPr>
          <w:rFonts w:ascii="Arial" w:hAnsi="Arial" w:cs="Arial"/>
          <w:noProof/>
          <w:sz w:val="22"/>
          <w:szCs w:val="22"/>
          <w:lang w:val="en-US"/>
        </w:rPr>
        <w:t xml:space="preserve"> BANO, A.</w:t>
      </w:r>
      <w:r w:rsidR="001D38FB">
        <w:rPr>
          <w:rFonts w:ascii="Arial" w:hAnsi="Arial" w:cs="Arial"/>
          <w:noProof/>
          <w:sz w:val="22"/>
          <w:szCs w:val="22"/>
          <w:lang w:val="en-US"/>
        </w:rPr>
        <w:t>;</w:t>
      </w:r>
      <w:r w:rsidRPr="00555447">
        <w:rPr>
          <w:rFonts w:ascii="Arial" w:hAnsi="Arial" w:cs="Arial"/>
          <w:noProof/>
          <w:sz w:val="22"/>
          <w:szCs w:val="22"/>
          <w:lang w:val="en-US"/>
        </w:rPr>
        <w:t xml:space="preserve"> HASSAN, T.U.</w:t>
      </w:r>
      <w:r w:rsidR="001D38FB">
        <w:rPr>
          <w:rFonts w:ascii="Arial" w:hAnsi="Arial" w:cs="Arial"/>
          <w:noProof/>
          <w:sz w:val="22"/>
          <w:szCs w:val="22"/>
          <w:lang w:val="en-US"/>
        </w:rPr>
        <w:t>;</w:t>
      </w:r>
      <w:r w:rsidRPr="00555447">
        <w:rPr>
          <w:rFonts w:ascii="Arial" w:hAnsi="Arial" w:cs="Arial"/>
          <w:noProof/>
          <w:sz w:val="22"/>
          <w:szCs w:val="22"/>
          <w:lang w:val="en-US"/>
        </w:rPr>
        <w:t xml:space="preserve"> MUNIR, A.</w:t>
      </w:r>
      <w:r w:rsidR="001D38FB">
        <w:rPr>
          <w:rFonts w:ascii="Arial" w:hAnsi="Arial" w:cs="Arial"/>
          <w:noProof/>
          <w:sz w:val="22"/>
          <w:szCs w:val="22"/>
          <w:lang w:val="en-US"/>
        </w:rPr>
        <w:t>;</w:t>
      </w:r>
      <w:r w:rsidRPr="00555447">
        <w:rPr>
          <w:rFonts w:ascii="Arial" w:hAnsi="Arial" w:cs="Arial"/>
          <w:noProof/>
          <w:sz w:val="22"/>
          <w:szCs w:val="22"/>
          <w:lang w:val="en-US"/>
        </w:rPr>
        <w:t xml:space="preserve"> GURMANI, A.R. </w:t>
      </w:r>
      <w:r w:rsidR="000E7723" w:rsidRPr="00555447">
        <w:rPr>
          <w:rFonts w:ascii="Arial" w:hAnsi="Arial" w:cs="Arial"/>
          <w:noProof/>
          <w:sz w:val="22"/>
          <w:szCs w:val="22"/>
          <w:lang w:val="en-US"/>
        </w:rPr>
        <w:t>Phosphorus and phosphate solubilizing bacteria: Keys for sustainable agriculture. Geomicrobiol</w:t>
      </w:r>
      <w:r w:rsidR="001D38FB">
        <w:rPr>
          <w:rFonts w:ascii="Arial" w:hAnsi="Arial" w:cs="Arial"/>
          <w:noProof/>
          <w:sz w:val="22"/>
          <w:szCs w:val="22"/>
          <w:lang w:val="en-US"/>
        </w:rPr>
        <w:t>ogy</w:t>
      </w:r>
      <w:r w:rsidR="000E7723" w:rsidRPr="00555447">
        <w:rPr>
          <w:rFonts w:ascii="Arial" w:hAnsi="Arial" w:cs="Arial"/>
          <w:noProof/>
          <w:sz w:val="22"/>
          <w:szCs w:val="22"/>
          <w:lang w:val="en-US"/>
        </w:rPr>
        <w:t xml:space="preserve"> J</w:t>
      </w:r>
      <w:r w:rsidR="001D38FB">
        <w:rPr>
          <w:rFonts w:ascii="Arial" w:hAnsi="Arial" w:cs="Arial"/>
          <w:noProof/>
          <w:sz w:val="22"/>
          <w:szCs w:val="22"/>
          <w:lang w:val="en-US"/>
        </w:rPr>
        <w:t>ournal, v.</w:t>
      </w:r>
      <w:r w:rsidR="000E7723" w:rsidRPr="00555447">
        <w:rPr>
          <w:rFonts w:ascii="Arial" w:hAnsi="Arial" w:cs="Arial"/>
          <w:noProof/>
          <w:sz w:val="22"/>
          <w:szCs w:val="22"/>
          <w:lang w:val="en-US"/>
        </w:rPr>
        <w:t> 36</w:t>
      </w:r>
      <w:r w:rsidR="001D38FB">
        <w:rPr>
          <w:rFonts w:ascii="Arial" w:hAnsi="Arial" w:cs="Arial"/>
          <w:noProof/>
          <w:sz w:val="22"/>
          <w:szCs w:val="22"/>
          <w:lang w:val="en-US"/>
        </w:rPr>
        <w:t xml:space="preserve">, n. </w:t>
      </w:r>
      <w:r w:rsidR="000E7723" w:rsidRPr="00555447">
        <w:rPr>
          <w:rFonts w:ascii="Arial" w:hAnsi="Arial" w:cs="Arial"/>
          <w:noProof/>
          <w:sz w:val="22"/>
          <w:szCs w:val="22"/>
          <w:lang w:val="en-US"/>
        </w:rPr>
        <w:t xml:space="preserve">10, 2019, </w:t>
      </w:r>
      <w:r w:rsidR="001D38FB">
        <w:rPr>
          <w:rFonts w:ascii="Arial" w:hAnsi="Arial" w:cs="Arial"/>
          <w:noProof/>
          <w:sz w:val="22"/>
          <w:szCs w:val="22"/>
          <w:lang w:val="en-US"/>
        </w:rPr>
        <w:t xml:space="preserve">p. </w:t>
      </w:r>
      <w:r w:rsidR="000E7723" w:rsidRPr="00555447">
        <w:rPr>
          <w:rFonts w:ascii="Arial" w:hAnsi="Arial" w:cs="Arial"/>
          <w:noProof/>
          <w:sz w:val="22"/>
          <w:szCs w:val="22"/>
          <w:lang w:val="en-US"/>
        </w:rPr>
        <w:t xml:space="preserve">904-916. </w:t>
      </w:r>
    </w:p>
    <w:p w14:paraId="282EAB20" w14:textId="52DB5C4C" w:rsidR="000E7723" w:rsidRPr="00555447" w:rsidRDefault="0096689F" w:rsidP="0096689F">
      <w:pPr>
        <w:ind w:left="482" w:firstLine="238"/>
        <w:jc w:val="both"/>
        <w:rPr>
          <w:rStyle w:val="Hipervnculo"/>
          <w:rFonts w:ascii="Arial" w:hAnsi="Arial" w:cs="Arial"/>
          <w:sz w:val="22"/>
          <w:szCs w:val="22"/>
          <w:lang w:val="en-US"/>
        </w:rPr>
      </w:pPr>
      <w:r>
        <w:rPr>
          <w:rFonts w:ascii="Arial" w:hAnsi="Arial" w:cs="Arial"/>
          <w:sz w:val="22"/>
          <w:szCs w:val="22"/>
          <w:lang w:val="en-US"/>
        </w:rPr>
        <w:fldChar w:fldCharType="begin"/>
      </w:r>
      <w:r>
        <w:rPr>
          <w:rFonts w:ascii="Arial" w:hAnsi="Arial" w:cs="Arial"/>
          <w:sz w:val="22"/>
          <w:szCs w:val="22"/>
          <w:lang w:val="en-US"/>
        </w:rPr>
        <w:instrText xml:space="preserve"> HYPERLINK "</w:instrText>
      </w:r>
      <w:r w:rsidRPr="0096689F">
        <w:rPr>
          <w:rFonts w:ascii="Arial" w:hAnsi="Arial" w:cs="Arial"/>
          <w:sz w:val="22"/>
          <w:szCs w:val="22"/>
          <w:lang w:val="en-US"/>
        </w:rPr>
        <w:instrText>https://doi.org/10.1080/01490451.2019.1654043</w:instrText>
      </w:r>
      <w:r>
        <w:rPr>
          <w:rFonts w:ascii="Arial" w:hAnsi="Arial" w:cs="Arial"/>
          <w:sz w:val="22"/>
          <w:szCs w:val="22"/>
          <w:lang w:val="en-US"/>
        </w:rPr>
        <w:instrText xml:space="preserve">" </w:instrText>
      </w:r>
      <w:r>
        <w:rPr>
          <w:rFonts w:ascii="Arial" w:hAnsi="Arial" w:cs="Arial"/>
          <w:sz w:val="22"/>
          <w:szCs w:val="22"/>
          <w:lang w:val="en-US"/>
        </w:rPr>
        <w:fldChar w:fldCharType="separate"/>
      </w:r>
      <w:r w:rsidRPr="003B63C3">
        <w:rPr>
          <w:rStyle w:val="Hipervnculo"/>
          <w:rFonts w:ascii="Arial" w:hAnsi="Arial" w:cs="Arial"/>
          <w:sz w:val="22"/>
          <w:szCs w:val="22"/>
          <w:lang w:val="en-US"/>
        </w:rPr>
        <w:t>https://doi.org/10.1080/01490451.2019.1654043</w:t>
      </w:r>
      <w:r>
        <w:rPr>
          <w:rFonts w:ascii="Arial" w:hAnsi="Arial" w:cs="Arial"/>
          <w:sz w:val="22"/>
          <w:szCs w:val="22"/>
          <w:lang w:val="en-US"/>
        </w:rPr>
        <w:fldChar w:fldCharType="end"/>
      </w:r>
    </w:p>
    <w:p w14:paraId="7072E90E" w14:textId="5F49792B" w:rsidR="00700535" w:rsidRPr="00555447" w:rsidRDefault="002C6A02" w:rsidP="0096689F">
      <w:pPr>
        <w:ind w:left="720" w:hanging="720"/>
        <w:jc w:val="both"/>
        <w:rPr>
          <w:rFonts w:ascii="Arial" w:hAnsi="Arial" w:cs="Arial"/>
          <w:noProof/>
          <w:sz w:val="22"/>
          <w:szCs w:val="22"/>
          <w:lang w:val="en-US"/>
        </w:rPr>
      </w:pPr>
      <w:r w:rsidRPr="00555447">
        <w:rPr>
          <w:rFonts w:ascii="Arial" w:hAnsi="Arial" w:cs="Arial"/>
          <w:noProof/>
          <w:sz w:val="22"/>
          <w:szCs w:val="22"/>
          <w:lang w:val="en-US"/>
        </w:rPr>
        <w:t>BLEIHOLDER, H.</w:t>
      </w:r>
      <w:r w:rsidR="009223C0">
        <w:rPr>
          <w:rFonts w:ascii="Arial" w:hAnsi="Arial" w:cs="Arial"/>
          <w:noProof/>
          <w:sz w:val="22"/>
          <w:szCs w:val="22"/>
          <w:lang w:val="en-US"/>
        </w:rPr>
        <w:t>;</w:t>
      </w:r>
      <w:r w:rsidRPr="00555447">
        <w:rPr>
          <w:rFonts w:ascii="Arial" w:hAnsi="Arial" w:cs="Arial"/>
          <w:noProof/>
          <w:sz w:val="22"/>
          <w:szCs w:val="22"/>
          <w:lang w:val="en-US"/>
        </w:rPr>
        <w:t xml:space="preserve"> WEBER, E.</w:t>
      </w:r>
      <w:r w:rsidR="009223C0">
        <w:rPr>
          <w:rFonts w:ascii="Arial" w:hAnsi="Arial" w:cs="Arial"/>
          <w:noProof/>
          <w:sz w:val="22"/>
          <w:szCs w:val="22"/>
          <w:lang w:val="en-US"/>
        </w:rPr>
        <w:t>;</w:t>
      </w:r>
      <w:r w:rsidRPr="00555447">
        <w:rPr>
          <w:rFonts w:ascii="Arial" w:hAnsi="Arial" w:cs="Arial"/>
          <w:noProof/>
          <w:sz w:val="22"/>
          <w:szCs w:val="22"/>
          <w:lang w:val="en-US"/>
        </w:rPr>
        <w:t xml:space="preserve"> LANCASHIRE, P.D.</w:t>
      </w:r>
      <w:r w:rsidR="009223C0">
        <w:rPr>
          <w:rFonts w:ascii="Arial" w:hAnsi="Arial" w:cs="Arial"/>
          <w:noProof/>
          <w:sz w:val="22"/>
          <w:szCs w:val="22"/>
          <w:lang w:val="en-US"/>
        </w:rPr>
        <w:t>;</w:t>
      </w:r>
      <w:r w:rsidRPr="00555447">
        <w:rPr>
          <w:rFonts w:ascii="Arial" w:hAnsi="Arial" w:cs="Arial"/>
          <w:noProof/>
          <w:sz w:val="22"/>
          <w:szCs w:val="22"/>
          <w:lang w:val="en-US"/>
        </w:rPr>
        <w:t xml:space="preserve"> FELLER, C.</w:t>
      </w:r>
      <w:r w:rsidR="009223C0">
        <w:rPr>
          <w:rFonts w:ascii="Arial" w:hAnsi="Arial" w:cs="Arial"/>
          <w:noProof/>
          <w:sz w:val="22"/>
          <w:szCs w:val="22"/>
          <w:lang w:val="en-US"/>
        </w:rPr>
        <w:t>;</w:t>
      </w:r>
      <w:r w:rsidRPr="00555447">
        <w:rPr>
          <w:rFonts w:ascii="Arial" w:hAnsi="Arial" w:cs="Arial"/>
          <w:noProof/>
          <w:sz w:val="22"/>
          <w:szCs w:val="22"/>
          <w:lang w:val="en-US"/>
        </w:rPr>
        <w:t xml:space="preserve"> BUHR, L.</w:t>
      </w:r>
      <w:r w:rsidR="009223C0">
        <w:rPr>
          <w:rFonts w:ascii="Arial" w:hAnsi="Arial" w:cs="Arial"/>
          <w:noProof/>
          <w:sz w:val="22"/>
          <w:szCs w:val="22"/>
          <w:lang w:val="en-US"/>
        </w:rPr>
        <w:t>;</w:t>
      </w:r>
      <w:r w:rsidRPr="00555447">
        <w:rPr>
          <w:rFonts w:ascii="Arial" w:hAnsi="Arial" w:cs="Arial"/>
          <w:noProof/>
          <w:sz w:val="22"/>
          <w:szCs w:val="22"/>
          <w:lang w:val="en-US"/>
        </w:rPr>
        <w:t xml:space="preserve"> HESS, M.</w:t>
      </w:r>
      <w:r w:rsidR="009223C0">
        <w:rPr>
          <w:rFonts w:ascii="Arial" w:hAnsi="Arial" w:cs="Arial"/>
          <w:noProof/>
          <w:sz w:val="22"/>
          <w:szCs w:val="22"/>
          <w:lang w:val="en-US"/>
        </w:rPr>
        <w:t>;</w:t>
      </w:r>
      <w:r w:rsidRPr="00555447">
        <w:rPr>
          <w:rFonts w:ascii="Arial" w:hAnsi="Arial" w:cs="Arial"/>
          <w:noProof/>
          <w:sz w:val="22"/>
          <w:szCs w:val="22"/>
          <w:lang w:val="en-US"/>
        </w:rPr>
        <w:t xml:space="preserve"> ...VAN DEN BOOM, T. </w:t>
      </w:r>
      <w:r w:rsidR="000E7723" w:rsidRPr="00555447">
        <w:rPr>
          <w:rFonts w:ascii="Arial" w:hAnsi="Arial" w:cs="Arial"/>
          <w:noProof/>
          <w:sz w:val="22"/>
          <w:szCs w:val="22"/>
          <w:lang w:val="en-US"/>
        </w:rPr>
        <w:t>Growth stages of mono-and dicotyledonous plants, BBCH monograph. Federal Biological Research Centre for Agriculture and Forestry, Berlin/Braunschweig, Germany, </w:t>
      </w:r>
      <w:r w:rsidR="00A208EC" w:rsidRPr="00555447">
        <w:rPr>
          <w:rFonts w:ascii="Arial" w:hAnsi="Arial" w:cs="Arial"/>
          <w:noProof/>
          <w:sz w:val="22"/>
          <w:szCs w:val="22"/>
          <w:lang w:val="en-US"/>
        </w:rPr>
        <w:t xml:space="preserve">2001, </w:t>
      </w:r>
      <w:r w:rsidR="000E7723" w:rsidRPr="00555447">
        <w:rPr>
          <w:rFonts w:ascii="Arial" w:hAnsi="Arial" w:cs="Arial"/>
          <w:noProof/>
          <w:sz w:val="22"/>
          <w:szCs w:val="22"/>
          <w:lang w:val="en-US"/>
        </w:rPr>
        <w:t>pp 158</w:t>
      </w:r>
      <w:r w:rsidR="009223C0">
        <w:rPr>
          <w:rFonts w:ascii="Arial" w:hAnsi="Arial" w:cs="Arial"/>
          <w:noProof/>
          <w:sz w:val="22"/>
          <w:szCs w:val="22"/>
          <w:lang w:val="en-US"/>
        </w:rPr>
        <w:t>.</w:t>
      </w:r>
    </w:p>
    <w:p w14:paraId="20B3C898" w14:textId="15D17F4B" w:rsidR="00700535" w:rsidRPr="00555447" w:rsidRDefault="00700535" w:rsidP="0096689F">
      <w:pPr>
        <w:ind w:left="720" w:hanging="720"/>
        <w:jc w:val="both"/>
        <w:rPr>
          <w:rFonts w:ascii="Arial" w:hAnsi="Arial" w:cs="Arial"/>
          <w:noProof/>
          <w:sz w:val="22"/>
          <w:szCs w:val="22"/>
          <w:lang w:val="en-US"/>
        </w:rPr>
      </w:pPr>
      <w:r w:rsidRPr="00555447">
        <w:rPr>
          <w:rFonts w:ascii="Arial" w:hAnsi="Arial" w:cs="Arial"/>
          <w:noProof/>
          <w:sz w:val="22"/>
          <w:szCs w:val="22"/>
        </w:rPr>
        <w:t>CAVALCANTE, V.A.</w:t>
      </w:r>
      <w:r w:rsidR="006F7D52">
        <w:rPr>
          <w:rFonts w:ascii="Arial" w:hAnsi="Arial" w:cs="Arial"/>
          <w:noProof/>
          <w:sz w:val="22"/>
          <w:szCs w:val="22"/>
        </w:rPr>
        <w:t>;</w:t>
      </w:r>
      <w:r w:rsidRPr="00555447">
        <w:rPr>
          <w:rFonts w:ascii="Arial" w:hAnsi="Arial" w:cs="Arial"/>
          <w:noProof/>
          <w:sz w:val="22"/>
          <w:szCs w:val="22"/>
        </w:rPr>
        <w:t xml:space="preserve"> DÖBEREINER, J.  </w:t>
      </w:r>
      <w:r w:rsidRPr="00555447">
        <w:rPr>
          <w:rFonts w:ascii="Arial" w:hAnsi="Arial" w:cs="Arial"/>
          <w:noProof/>
          <w:sz w:val="22"/>
          <w:szCs w:val="22"/>
          <w:lang w:val="en-US"/>
        </w:rPr>
        <w:t xml:space="preserve">A new acid-tolerant nitrogen-fixing bacterium associated with sugarcane. Plant </w:t>
      </w:r>
      <w:r w:rsidR="006F7D52">
        <w:rPr>
          <w:rFonts w:ascii="Arial" w:hAnsi="Arial" w:cs="Arial"/>
          <w:noProof/>
          <w:sz w:val="22"/>
          <w:szCs w:val="22"/>
          <w:lang w:val="en-US"/>
        </w:rPr>
        <w:t xml:space="preserve">and </w:t>
      </w:r>
      <w:r w:rsidRPr="00555447">
        <w:rPr>
          <w:rFonts w:ascii="Arial" w:hAnsi="Arial" w:cs="Arial"/>
          <w:noProof/>
          <w:sz w:val="22"/>
          <w:szCs w:val="22"/>
          <w:lang w:val="en-US"/>
        </w:rPr>
        <w:t>Soil</w:t>
      </w:r>
      <w:r w:rsidR="006F7D52">
        <w:rPr>
          <w:rFonts w:ascii="Arial" w:hAnsi="Arial" w:cs="Arial"/>
          <w:noProof/>
          <w:sz w:val="22"/>
          <w:szCs w:val="22"/>
          <w:lang w:val="en-US"/>
        </w:rPr>
        <w:t>,</w:t>
      </w:r>
      <w:r w:rsidRPr="00555447">
        <w:rPr>
          <w:rFonts w:ascii="Arial" w:hAnsi="Arial" w:cs="Arial"/>
          <w:noProof/>
          <w:sz w:val="22"/>
          <w:szCs w:val="22"/>
          <w:lang w:val="en-US"/>
        </w:rPr>
        <w:t xml:space="preserve"> </w:t>
      </w:r>
      <w:r w:rsidR="006F7D52">
        <w:rPr>
          <w:rFonts w:ascii="Arial" w:hAnsi="Arial" w:cs="Arial"/>
          <w:noProof/>
          <w:sz w:val="22"/>
          <w:szCs w:val="22"/>
          <w:lang w:val="en-US"/>
        </w:rPr>
        <w:t xml:space="preserve">v. </w:t>
      </w:r>
      <w:r w:rsidRPr="00555447">
        <w:rPr>
          <w:rFonts w:ascii="Arial" w:hAnsi="Arial" w:cs="Arial"/>
          <w:noProof/>
          <w:sz w:val="22"/>
          <w:szCs w:val="22"/>
          <w:lang w:val="en-US"/>
        </w:rPr>
        <w:t>108</w:t>
      </w:r>
      <w:r w:rsidR="006F7D52">
        <w:rPr>
          <w:rFonts w:ascii="Arial" w:hAnsi="Arial" w:cs="Arial"/>
          <w:noProof/>
          <w:sz w:val="22"/>
          <w:szCs w:val="22"/>
          <w:lang w:val="en-US"/>
        </w:rPr>
        <w:t>, n.</w:t>
      </w:r>
      <w:r w:rsidRPr="00555447">
        <w:rPr>
          <w:rFonts w:ascii="Arial" w:hAnsi="Arial" w:cs="Arial"/>
          <w:noProof/>
          <w:sz w:val="22"/>
          <w:szCs w:val="22"/>
          <w:lang w:val="en-US"/>
        </w:rPr>
        <w:t>1</w:t>
      </w:r>
      <w:r w:rsidR="006F7D52">
        <w:rPr>
          <w:rFonts w:ascii="Arial" w:hAnsi="Arial" w:cs="Arial"/>
          <w:noProof/>
          <w:sz w:val="22"/>
          <w:szCs w:val="22"/>
          <w:lang w:val="en-US"/>
        </w:rPr>
        <w:t>,</w:t>
      </w:r>
      <w:r w:rsidRPr="00555447">
        <w:rPr>
          <w:rFonts w:ascii="Arial" w:hAnsi="Arial" w:cs="Arial"/>
          <w:noProof/>
          <w:sz w:val="22"/>
          <w:szCs w:val="22"/>
          <w:lang w:val="en-US"/>
        </w:rPr>
        <w:t xml:space="preserve"> 1988, </w:t>
      </w:r>
      <w:r w:rsidR="006F7D52">
        <w:rPr>
          <w:rFonts w:ascii="Arial" w:hAnsi="Arial" w:cs="Arial"/>
          <w:noProof/>
          <w:sz w:val="22"/>
          <w:szCs w:val="22"/>
          <w:lang w:val="en-US"/>
        </w:rPr>
        <w:t xml:space="preserve">p. </w:t>
      </w:r>
      <w:r w:rsidRPr="00555447">
        <w:rPr>
          <w:rFonts w:ascii="Arial" w:hAnsi="Arial" w:cs="Arial"/>
          <w:noProof/>
          <w:sz w:val="22"/>
          <w:szCs w:val="22"/>
          <w:lang w:val="en-US"/>
        </w:rPr>
        <w:t xml:space="preserve">23–31. </w:t>
      </w:r>
      <w:hyperlink r:id="rId21" w:history="1">
        <w:r w:rsidRPr="00555447">
          <w:rPr>
            <w:rStyle w:val="Hipervnculo"/>
            <w:rFonts w:ascii="Arial" w:hAnsi="Arial" w:cs="Arial"/>
            <w:noProof/>
            <w:sz w:val="22"/>
            <w:szCs w:val="22"/>
            <w:lang w:val="en-US"/>
          </w:rPr>
          <w:t>http://doi.org/10.1007/BF02370096</w:t>
        </w:r>
      </w:hyperlink>
    </w:p>
    <w:p w14:paraId="1E08BC3A" w14:textId="09255CBF" w:rsidR="00E75C4F" w:rsidRPr="00555447" w:rsidRDefault="002C6A02" w:rsidP="0096689F">
      <w:pPr>
        <w:ind w:left="720" w:hanging="720"/>
        <w:jc w:val="both"/>
        <w:rPr>
          <w:rFonts w:ascii="Arial" w:hAnsi="Arial" w:cs="Arial"/>
          <w:noProof/>
          <w:sz w:val="22"/>
          <w:szCs w:val="22"/>
        </w:rPr>
      </w:pPr>
      <w:r w:rsidRPr="0096689F">
        <w:rPr>
          <w:rFonts w:ascii="Arial" w:eastAsia="Arial" w:hAnsi="Arial" w:cs="Arial"/>
          <w:sz w:val="22"/>
          <w:szCs w:val="22"/>
          <w:lang w:val="en" w:eastAsia="es-CO"/>
        </w:rPr>
        <w:t>DEAKER</w:t>
      </w:r>
      <w:r w:rsidRPr="00555447">
        <w:rPr>
          <w:rFonts w:ascii="Arial" w:hAnsi="Arial" w:cs="Arial"/>
          <w:noProof/>
          <w:sz w:val="22"/>
          <w:szCs w:val="22"/>
          <w:lang w:val="en-US"/>
        </w:rPr>
        <w:t>, R.</w:t>
      </w:r>
      <w:r w:rsidR="00673FF0">
        <w:rPr>
          <w:rFonts w:ascii="Arial" w:hAnsi="Arial" w:cs="Arial"/>
          <w:noProof/>
          <w:sz w:val="22"/>
          <w:szCs w:val="22"/>
          <w:lang w:val="en-US"/>
        </w:rPr>
        <w:t>;</w:t>
      </w:r>
      <w:r w:rsidRPr="00555447">
        <w:rPr>
          <w:rFonts w:ascii="Arial" w:hAnsi="Arial" w:cs="Arial"/>
          <w:noProof/>
          <w:sz w:val="22"/>
          <w:szCs w:val="22"/>
          <w:lang w:val="en-US"/>
        </w:rPr>
        <w:t xml:space="preserve"> KECSKÉS, M.L.</w:t>
      </w:r>
      <w:r w:rsidR="00673FF0">
        <w:rPr>
          <w:rFonts w:ascii="Arial" w:hAnsi="Arial" w:cs="Arial"/>
          <w:noProof/>
          <w:sz w:val="22"/>
          <w:szCs w:val="22"/>
          <w:lang w:val="en-US"/>
        </w:rPr>
        <w:t>;</w:t>
      </w:r>
      <w:r w:rsidRPr="00555447">
        <w:rPr>
          <w:rFonts w:ascii="Arial" w:hAnsi="Arial" w:cs="Arial"/>
          <w:noProof/>
          <w:sz w:val="22"/>
          <w:szCs w:val="22"/>
          <w:lang w:val="en-US"/>
        </w:rPr>
        <w:t xml:space="preserve"> ROSE, M.T.</w:t>
      </w:r>
      <w:r w:rsidR="00673FF0">
        <w:rPr>
          <w:rFonts w:ascii="Arial" w:hAnsi="Arial" w:cs="Arial"/>
          <w:noProof/>
          <w:sz w:val="22"/>
          <w:szCs w:val="22"/>
          <w:lang w:val="en-US"/>
        </w:rPr>
        <w:t>;</w:t>
      </w:r>
      <w:r w:rsidRPr="00555447">
        <w:rPr>
          <w:rFonts w:ascii="Arial" w:hAnsi="Arial" w:cs="Arial"/>
          <w:noProof/>
          <w:sz w:val="22"/>
          <w:szCs w:val="22"/>
          <w:lang w:val="en-US"/>
        </w:rPr>
        <w:t xml:space="preserve"> AMPRAYN, K.</w:t>
      </w:r>
      <w:r w:rsidR="00673FF0">
        <w:rPr>
          <w:rFonts w:ascii="Arial" w:hAnsi="Arial" w:cs="Arial"/>
          <w:noProof/>
          <w:sz w:val="22"/>
          <w:szCs w:val="22"/>
          <w:lang w:val="en-US"/>
        </w:rPr>
        <w:t>;</w:t>
      </w:r>
      <w:r w:rsidRPr="00555447">
        <w:rPr>
          <w:rFonts w:ascii="Arial" w:hAnsi="Arial" w:cs="Arial"/>
          <w:noProof/>
          <w:sz w:val="22"/>
          <w:szCs w:val="22"/>
          <w:lang w:val="en-US"/>
        </w:rPr>
        <w:t xml:space="preserve"> GANISAN, K.</w:t>
      </w:r>
      <w:r w:rsidR="00673FF0">
        <w:rPr>
          <w:rFonts w:ascii="Arial" w:hAnsi="Arial" w:cs="Arial"/>
          <w:noProof/>
          <w:sz w:val="22"/>
          <w:szCs w:val="22"/>
          <w:lang w:val="en-US"/>
        </w:rPr>
        <w:t>;</w:t>
      </w:r>
      <w:r w:rsidRPr="00555447">
        <w:rPr>
          <w:rFonts w:ascii="Arial" w:hAnsi="Arial" w:cs="Arial"/>
          <w:noProof/>
          <w:sz w:val="22"/>
          <w:szCs w:val="22"/>
          <w:lang w:val="en-US"/>
        </w:rPr>
        <w:t xml:space="preserve"> TRAN, T.K.C</w:t>
      </w:r>
      <w:r w:rsidR="00673FF0">
        <w:rPr>
          <w:rFonts w:ascii="Arial" w:hAnsi="Arial" w:cs="Arial"/>
          <w:noProof/>
          <w:sz w:val="22"/>
          <w:szCs w:val="22"/>
          <w:lang w:val="en-US"/>
        </w:rPr>
        <w:t>.;</w:t>
      </w:r>
      <w:r w:rsidRPr="00555447">
        <w:rPr>
          <w:rFonts w:ascii="Arial" w:hAnsi="Arial" w:cs="Arial"/>
          <w:noProof/>
          <w:sz w:val="22"/>
          <w:szCs w:val="22"/>
          <w:lang w:val="en-US"/>
        </w:rPr>
        <w:t xml:space="preserve"> ...KENNEDY, I.R.</w:t>
      </w:r>
      <w:r w:rsidRPr="00555447">
        <w:rPr>
          <w:rFonts w:ascii="Arial" w:hAnsi="Arial" w:cs="Arial"/>
          <w:color w:val="222222"/>
          <w:sz w:val="22"/>
          <w:szCs w:val="22"/>
          <w:shd w:val="clear" w:color="auto" w:fill="FFFFFF"/>
          <w:lang w:val="en-US"/>
        </w:rPr>
        <w:t xml:space="preserve"> </w:t>
      </w:r>
      <w:r w:rsidR="000E7723" w:rsidRPr="00555447">
        <w:rPr>
          <w:rFonts w:ascii="Arial" w:hAnsi="Arial" w:cs="Arial"/>
          <w:noProof/>
          <w:sz w:val="22"/>
          <w:szCs w:val="22"/>
          <w:lang w:val="en-US"/>
        </w:rPr>
        <w:t xml:space="preserve">Practical methods for the quaity control of inoculant biofertilisers. </w:t>
      </w:r>
      <w:r w:rsidR="000E7723" w:rsidRPr="00555447">
        <w:rPr>
          <w:rFonts w:ascii="Arial" w:hAnsi="Arial" w:cs="Arial"/>
          <w:noProof/>
          <w:sz w:val="22"/>
          <w:szCs w:val="22"/>
        </w:rPr>
        <w:t>Australian Centre for International Agricultural Research (ACIAR).</w:t>
      </w:r>
      <w:r w:rsidR="00A208EC" w:rsidRPr="00555447">
        <w:rPr>
          <w:rFonts w:ascii="Arial" w:hAnsi="Arial" w:cs="Arial"/>
          <w:noProof/>
          <w:sz w:val="22"/>
          <w:szCs w:val="22"/>
        </w:rPr>
        <w:t xml:space="preserve"> 2011.</w:t>
      </w:r>
    </w:p>
    <w:p w14:paraId="4392C1B1" w14:textId="2000E050" w:rsidR="00E75C4F" w:rsidRPr="00555447" w:rsidRDefault="00AF6192" w:rsidP="00821098">
      <w:pPr>
        <w:ind w:left="720" w:hanging="720"/>
        <w:jc w:val="both"/>
        <w:rPr>
          <w:rFonts w:ascii="Arial" w:hAnsi="Arial" w:cs="Arial"/>
          <w:sz w:val="22"/>
          <w:szCs w:val="22"/>
          <w:lang w:val="en-US"/>
        </w:rPr>
      </w:pPr>
      <w:r w:rsidRPr="00555447">
        <w:rPr>
          <w:rFonts w:ascii="Arial" w:hAnsi="Arial" w:cs="Arial"/>
          <w:color w:val="222222"/>
          <w:sz w:val="22"/>
          <w:szCs w:val="22"/>
          <w:shd w:val="clear" w:color="auto" w:fill="FFFFFF"/>
          <w:lang w:val="en-US"/>
        </w:rPr>
        <w:t>DE BANG, T. C.</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HUSTED, S.</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LAURSEN, K. H.</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PERSSON, D. P.</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SCHJOERRING, J. K. </w:t>
      </w:r>
      <w:r w:rsidR="00E75C4F" w:rsidRPr="00555447">
        <w:rPr>
          <w:rFonts w:ascii="Arial" w:hAnsi="Arial" w:cs="Arial"/>
          <w:color w:val="222222"/>
          <w:sz w:val="22"/>
          <w:szCs w:val="22"/>
          <w:shd w:val="clear" w:color="auto" w:fill="FFFFFF"/>
          <w:lang w:val="en-US"/>
        </w:rPr>
        <w:t>The molecular–physiological functions of mineral macronutrients and their consequences for deficiency symptoms in plants.</w:t>
      </w:r>
      <w:r w:rsidR="00E75C4F" w:rsidRPr="00555447">
        <w:rPr>
          <w:rStyle w:val="apple-converted-space"/>
          <w:rFonts w:ascii="Arial" w:hAnsi="Arial" w:cs="Arial"/>
          <w:color w:val="222222"/>
          <w:sz w:val="22"/>
          <w:szCs w:val="22"/>
          <w:shd w:val="clear" w:color="auto" w:fill="FFFFFF"/>
          <w:lang w:val="en-US"/>
        </w:rPr>
        <w:t> </w:t>
      </w:r>
      <w:r w:rsidR="00E75C4F" w:rsidRPr="00C076AA">
        <w:rPr>
          <w:rFonts w:ascii="Arial" w:hAnsi="Arial" w:cs="Arial"/>
          <w:color w:val="222222"/>
          <w:sz w:val="22"/>
          <w:szCs w:val="22"/>
          <w:lang w:val="en-US"/>
        </w:rPr>
        <w:t>New Phytologist</w:t>
      </w:r>
      <w:r w:rsidR="00E75C4F" w:rsidRPr="00555447">
        <w:rPr>
          <w:rFonts w:ascii="Arial" w:hAnsi="Arial" w:cs="Arial"/>
          <w:color w:val="222222"/>
          <w:sz w:val="22"/>
          <w:szCs w:val="22"/>
          <w:shd w:val="clear" w:color="auto" w:fill="FFFFFF"/>
          <w:lang w:val="en-US"/>
        </w:rPr>
        <w:t>,</w:t>
      </w:r>
      <w:r w:rsidR="00E75C4F" w:rsidRPr="00555447">
        <w:rPr>
          <w:rStyle w:val="apple-converted-space"/>
          <w:rFonts w:ascii="Arial" w:hAnsi="Arial" w:cs="Arial"/>
          <w:color w:val="222222"/>
          <w:sz w:val="22"/>
          <w:szCs w:val="22"/>
          <w:shd w:val="clear" w:color="auto" w:fill="FFFFFF"/>
          <w:lang w:val="en-US"/>
        </w:rPr>
        <w:t> </w:t>
      </w:r>
      <w:r w:rsidR="00C076AA">
        <w:rPr>
          <w:rStyle w:val="apple-converted-space"/>
          <w:rFonts w:ascii="Arial" w:hAnsi="Arial" w:cs="Arial"/>
          <w:color w:val="222222"/>
          <w:sz w:val="22"/>
          <w:szCs w:val="22"/>
          <w:shd w:val="clear" w:color="auto" w:fill="FFFFFF"/>
          <w:lang w:val="en-US"/>
        </w:rPr>
        <w:t xml:space="preserve">v. </w:t>
      </w:r>
      <w:r w:rsidR="00E75C4F" w:rsidRPr="00C076AA">
        <w:rPr>
          <w:rFonts w:ascii="Arial" w:hAnsi="Arial" w:cs="Arial"/>
          <w:color w:val="222222"/>
          <w:sz w:val="22"/>
          <w:szCs w:val="22"/>
          <w:lang w:val="en-US"/>
        </w:rPr>
        <w:t>229</w:t>
      </w:r>
      <w:r w:rsidR="00C076AA">
        <w:rPr>
          <w:rFonts w:ascii="Arial" w:hAnsi="Arial" w:cs="Arial"/>
          <w:color w:val="222222"/>
          <w:sz w:val="22"/>
          <w:szCs w:val="22"/>
          <w:lang w:val="en-US"/>
        </w:rPr>
        <w:t xml:space="preserve">, n. </w:t>
      </w:r>
      <w:r w:rsidR="00E75C4F" w:rsidRPr="00C076AA">
        <w:rPr>
          <w:rFonts w:ascii="Arial" w:hAnsi="Arial" w:cs="Arial"/>
          <w:color w:val="222222"/>
          <w:sz w:val="22"/>
          <w:szCs w:val="22"/>
          <w:shd w:val="clear" w:color="auto" w:fill="FFFFFF"/>
          <w:lang w:val="en-US"/>
        </w:rPr>
        <w:t>5,</w:t>
      </w:r>
      <w:r w:rsidR="00C076AA">
        <w:rPr>
          <w:rFonts w:ascii="Arial" w:hAnsi="Arial" w:cs="Arial"/>
          <w:color w:val="222222"/>
          <w:sz w:val="22"/>
          <w:szCs w:val="22"/>
          <w:shd w:val="clear" w:color="auto" w:fill="FFFFFF"/>
          <w:lang w:val="en-US"/>
        </w:rPr>
        <w:t xml:space="preserve"> 2021,</w:t>
      </w:r>
      <w:r w:rsidR="00E75C4F" w:rsidRPr="00555447">
        <w:rPr>
          <w:rFonts w:ascii="Arial" w:hAnsi="Arial" w:cs="Arial"/>
          <w:color w:val="222222"/>
          <w:sz w:val="22"/>
          <w:szCs w:val="22"/>
          <w:shd w:val="clear" w:color="auto" w:fill="FFFFFF"/>
          <w:lang w:val="en-US"/>
        </w:rPr>
        <w:t xml:space="preserve"> </w:t>
      </w:r>
      <w:r w:rsidR="00C076AA">
        <w:rPr>
          <w:rFonts w:ascii="Arial" w:hAnsi="Arial" w:cs="Arial"/>
          <w:color w:val="222222"/>
          <w:sz w:val="22"/>
          <w:szCs w:val="22"/>
          <w:shd w:val="clear" w:color="auto" w:fill="FFFFFF"/>
          <w:lang w:val="en-US"/>
        </w:rPr>
        <w:t xml:space="preserve">p. </w:t>
      </w:r>
      <w:r w:rsidR="00E75C4F" w:rsidRPr="00555447">
        <w:rPr>
          <w:rFonts w:ascii="Arial" w:hAnsi="Arial" w:cs="Arial"/>
          <w:color w:val="222222"/>
          <w:sz w:val="22"/>
          <w:szCs w:val="22"/>
          <w:shd w:val="clear" w:color="auto" w:fill="FFFFFF"/>
          <w:lang w:val="en-US"/>
        </w:rPr>
        <w:t>2446-2469.</w:t>
      </w:r>
    </w:p>
    <w:p w14:paraId="78323E80" w14:textId="4DF33D26" w:rsidR="00E75C4F" w:rsidRPr="00555447" w:rsidRDefault="006B2557" w:rsidP="00911B39">
      <w:pPr>
        <w:rPr>
          <w:rFonts w:ascii="Arial" w:hAnsi="Arial" w:cs="Arial"/>
          <w:sz w:val="22"/>
          <w:szCs w:val="22"/>
          <w:lang w:val="en-US"/>
        </w:rPr>
      </w:pPr>
      <w:r w:rsidRPr="006B2557">
        <w:rPr>
          <w:rFonts w:ascii="Arial" w:hAnsi="Arial" w:cs="Arial"/>
          <w:color w:val="767676"/>
          <w:sz w:val="22"/>
          <w:szCs w:val="22"/>
          <w:shd w:val="clear" w:color="auto" w:fill="FFFFFF"/>
          <w:lang w:val="en-US"/>
        </w:rPr>
        <w:t> </w:t>
      </w:r>
      <w:r w:rsidR="00E50AE2">
        <w:rPr>
          <w:rFonts w:ascii="Arial" w:hAnsi="Arial" w:cs="Arial"/>
          <w:sz w:val="22"/>
          <w:szCs w:val="22"/>
          <w:lang w:val="en-US"/>
        </w:rPr>
        <w:tab/>
      </w:r>
      <w:hyperlink r:id="rId22" w:history="1">
        <w:r w:rsidR="00911B39" w:rsidRPr="006B2557">
          <w:rPr>
            <w:rStyle w:val="Hipervnculo"/>
            <w:rFonts w:ascii="Arial" w:hAnsi="Arial" w:cs="Arial"/>
            <w:noProof/>
            <w:sz w:val="22"/>
            <w:szCs w:val="22"/>
            <w:lang w:val="en-US"/>
          </w:rPr>
          <w:t>https://doi.org/10.1111/nph.17074</w:t>
        </w:r>
      </w:hyperlink>
    </w:p>
    <w:p w14:paraId="2E25D16D" w14:textId="2834DA18" w:rsidR="008F6A09" w:rsidRPr="00555447" w:rsidRDefault="002C6A02" w:rsidP="00EF423D">
      <w:pPr>
        <w:ind w:left="720" w:hanging="720"/>
        <w:jc w:val="both"/>
        <w:rPr>
          <w:rFonts w:ascii="Arial" w:hAnsi="Arial" w:cs="Arial"/>
          <w:noProof/>
          <w:sz w:val="22"/>
          <w:szCs w:val="22"/>
          <w:lang w:val="en-US"/>
        </w:rPr>
      </w:pPr>
      <w:r w:rsidRPr="00555447">
        <w:rPr>
          <w:rFonts w:ascii="Arial" w:hAnsi="Arial" w:cs="Arial"/>
          <w:noProof/>
          <w:sz w:val="22"/>
          <w:szCs w:val="22"/>
          <w:lang w:val="en-US"/>
        </w:rPr>
        <w:t xml:space="preserve">EDI–PREMONO, M., MOAWAD, M., VLECK, P. </w:t>
      </w:r>
      <w:r w:rsidR="000E7723" w:rsidRPr="00555447">
        <w:rPr>
          <w:rFonts w:ascii="Arial" w:hAnsi="Arial" w:cs="Arial"/>
          <w:noProof/>
          <w:sz w:val="22"/>
          <w:szCs w:val="22"/>
          <w:lang w:val="en-US"/>
        </w:rPr>
        <w:t xml:space="preserve">Effect of phosphate solubilising </w:t>
      </w:r>
      <w:r w:rsidR="000E7723" w:rsidRPr="000C6D9A">
        <w:rPr>
          <w:rFonts w:ascii="Arial" w:hAnsi="Arial" w:cs="Arial"/>
          <w:i/>
          <w:iCs/>
          <w:noProof/>
          <w:sz w:val="22"/>
          <w:szCs w:val="22"/>
          <w:lang w:val="en-US"/>
        </w:rPr>
        <w:t>Pseudomonas putida</w:t>
      </w:r>
      <w:r w:rsidR="000E7723" w:rsidRPr="00555447">
        <w:rPr>
          <w:rFonts w:ascii="Arial" w:hAnsi="Arial" w:cs="Arial"/>
          <w:noProof/>
          <w:sz w:val="22"/>
          <w:szCs w:val="22"/>
          <w:lang w:val="en-US"/>
        </w:rPr>
        <w:t xml:space="preserve"> on the growth of maize and its survival in the rhizosphere. Indonesian J</w:t>
      </w:r>
      <w:r w:rsidR="000C6D9A">
        <w:rPr>
          <w:rFonts w:ascii="Arial" w:hAnsi="Arial" w:cs="Arial"/>
          <w:noProof/>
          <w:sz w:val="22"/>
          <w:szCs w:val="22"/>
          <w:lang w:val="en-US"/>
        </w:rPr>
        <w:t>ournal of</w:t>
      </w:r>
      <w:r w:rsidR="000E7723" w:rsidRPr="00555447">
        <w:rPr>
          <w:rFonts w:ascii="Arial" w:hAnsi="Arial" w:cs="Arial"/>
          <w:noProof/>
          <w:sz w:val="22"/>
          <w:szCs w:val="22"/>
          <w:lang w:val="en-US"/>
        </w:rPr>
        <w:t xml:space="preserve"> Crop Sci</w:t>
      </w:r>
      <w:r w:rsidR="000C6D9A">
        <w:rPr>
          <w:rFonts w:ascii="Arial" w:hAnsi="Arial" w:cs="Arial"/>
          <w:noProof/>
          <w:sz w:val="22"/>
          <w:szCs w:val="22"/>
          <w:lang w:val="en-US"/>
        </w:rPr>
        <w:t>nce,</w:t>
      </w:r>
      <w:r w:rsidR="000E7723" w:rsidRPr="00555447">
        <w:rPr>
          <w:rFonts w:ascii="Arial" w:hAnsi="Arial" w:cs="Arial"/>
          <w:noProof/>
          <w:sz w:val="22"/>
          <w:szCs w:val="22"/>
          <w:lang w:val="en-US"/>
        </w:rPr>
        <w:t xml:space="preserve"> </w:t>
      </w:r>
      <w:r w:rsidR="000C6D9A">
        <w:rPr>
          <w:rFonts w:ascii="Arial" w:hAnsi="Arial" w:cs="Arial"/>
          <w:noProof/>
          <w:sz w:val="22"/>
          <w:szCs w:val="22"/>
          <w:lang w:val="en-US"/>
        </w:rPr>
        <w:t>v.</w:t>
      </w:r>
      <w:r w:rsidR="000E7723" w:rsidRPr="00555447">
        <w:rPr>
          <w:rFonts w:ascii="Arial" w:hAnsi="Arial" w:cs="Arial"/>
          <w:noProof/>
          <w:sz w:val="22"/>
          <w:szCs w:val="22"/>
          <w:lang w:val="en-US"/>
        </w:rPr>
        <w:t>11</w:t>
      </w:r>
      <w:r w:rsidR="000C6D9A">
        <w:rPr>
          <w:rFonts w:ascii="Arial" w:hAnsi="Arial" w:cs="Arial"/>
          <w:noProof/>
          <w:sz w:val="22"/>
          <w:szCs w:val="22"/>
          <w:lang w:val="en-US"/>
        </w:rPr>
        <w:t>,</w:t>
      </w:r>
      <w:r w:rsidR="0001207D" w:rsidRPr="00555447">
        <w:rPr>
          <w:rFonts w:ascii="Arial" w:hAnsi="Arial" w:cs="Arial"/>
          <w:noProof/>
          <w:sz w:val="22"/>
          <w:szCs w:val="22"/>
          <w:lang w:val="en-US"/>
        </w:rPr>
        <w:t xml:space="preserve"> n. 1</w:t>
      </w:r>
      <w:r w:rsidR="00A208EC" w:rsidRPr="00555447">
        <w:rPr>
          <w:rFonts w:ascii="Arial" w:hAnsi="Arial" w:cs="Arial"/>
          <w:noProof/>
          <w:sz w:val="22"/>
          <w:szCs w:val="22"/>
          <w:lang w:val="en-US"/>
        </w:rPr>
        <w:t>, 1996,</w:t>
      </w:r>
      <w:r w:rsidR="000C6D9A">
        <w:rPr>
          <w:rFonts w:ascii="Arial" w:hAnsi="Arial" w:cs="Arial"/>
          <w:noProof/>
          <w:sz w:val="22"/>
          <w:szCs w:val="22"/>
          <w:lang w:val="en-US"/>
        </w:rPr>
        <w:t xml:space="preserve"> p.</w:t>
      </w:r>
      <w:r w:rsidR="000E7723" w:rsidRPr="00555447">
        <w:rPr>
          <w:rFonts w:ascii="Arial" w:hAnsi="Arial" w:cs="Arial"/>
          <w:noProof/>
          <w:sz w:val="22"/>
          <w:szCs w:val="22"/>
          <w:lang w:val="en-US"/>
        </w:rPr>
        <w:t>13–23</w:t>
      </w:r>
      <w:r w:rsidR="00A208EC" w:rsidRPr="00555447">
        <w:rPr>
          <w:rFonts w:ascii="Arial" w:hAnsi="Arial" w:cs="Arial"/>
          <w:noProof/>
          <w:sz w:val="22"/>
          <w:szCs w:val="22"/>
          <w:lang w:val="en-US"/>
        </w:rPr>
        <w:t>.</w:t>
      </w:r>
    </w:p>
    <w:p w14:paraId="2AA373B7" w14:textId="2D716EED" w:rsidR="008F6A09" w:rsidRPr="00544298" w:rsidRDefault="00DE2D56" w:rsidP="00AB4C67">
      <w:pPr>
        <w:ind w:left="720" w:hanging="720"/>
        <w:jc w:val="both"/>
        <w:rPr>
          <w:rFonts w:ascii="Arial" w:hAnsi="Arial" w:cs="Arial"/>
          <w:sz w:val="22"/>
          <w:szCs w:val="22"/>
          <w:lang w:val="en-US"/>
        </w:rPr>
      </w:pPr>
      <w:r w:rsidRPr="0096689F">
        <w:rPr>
          <w:rFonts w:ascii="Arial" w:eastAsia="Arial" w:hAnsi="Arial" w:cs="Arial"/>
          <w:sz w:val="22"/>
          <w:szCs w:val="22"/>
          <w:lang w:val="en" w:eastAsia="es-CO"/>
        </w:rPr>
        <w:t>ELHAISSOUFI</w:t>
      </w:r>
      <w:r w:rsidRPr="00555447">
        <w:rPr>
          <w:rFonts w:ascii="Arial" w:hAnsi="Arial" w:cs="Arial"/>
          <w:color w:val="222222"/>
          <w:sz w:val="22"/>
          <w:szCs w:val="22"/>
          <w:shd w:val="clear" w:color="auto" w:fill="FFFFFF"/>
          <w:lang w:val="en-US"/>
        </w:rPr>
        <w:t>, W.</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KHOURCHI, S.</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IBNYASSER, A.</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GHOULAM, C.</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RCHIAD, Z.</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ZEROUAL, Y.</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 BARGAZ, A. </w:t>
      </w:r>
      <w:r w:rsidR="008F6A09" w:rsidRPr="00555447">
        <w:rPr>
          <w:rFonts w:ascii="Arial" w:hAnsi="Arial" w:cs="Arial"/>
          <w:color w:val="222222"/>
          <w:sz w:val="22"/>
          <w:szCs w:val="22"/>
          <w:shd w:val="clear" w:color="auto" w:fill="FFFFFF"/>
          <w:lang w:val="en-US"/>
        </w:rPr>
        <w:t>Phosphate solubilizing rhizobacteria could have a stronger influence on wheat root traits and aboveground physiology than rhizosphere P solubilization.</w:t>
      </w:r>
      <w:r w:rsidR="008F6A09" w:rsidRPr="00555447">
        <w:rPr>
          <w:rStyle w:val="apple-converted-space"/>
          <w:rFonts w:ascii="Arial" w:hAnsi="Arial" w:cs="Arial"/>
          <w:color w:val="222222"/>
          <w:sz w:val="22"/>
          <w:szCs w:val="22"/>
          <w:shd w:val="clear" w:color="auto" w:fill="FFFFFF"/>
          <w:lang w:val="en-US"/>
        </w:rPr>
        <w:t> </w:t>
      </w:r>
      <w:r w:rsidR="008F6A09" w:rsidRPr="00544298">
        <w:rPr>
          <w:rFonts w:ascii="Arial" w:hAnsi="Arial" w:cs="Arial"/>
          <w:color w:val="222222"/>
          <w:sz w:val="22"/>
          <w:szCs w:val="22"/>
          <w:lang w:val="en-US"/>
        </w:rPr>
        <w:t xml:space="preserve">Frontiers </w:t>
      </w:r>
      <w:r w:rsidRPr="00544298">
        <w:rPr>
          <w:rFonts w:ascii="Arial" w:hAnsi="Arial" w:cs="Arial"/>
          <w:color w:val="222222"/>
          <w:sz w:val="22"/>
          <w:szCs w:val="22"/>
          <w:lang w:val="en-US"/>
        </w:rPr>
        <w:t>In Plant Science</w:t>
      </w:r>
      <w:r w:rsidRPr="00544298">
        <w:rPr>
          <w:rFonts w:ascii="Arial" w:hAnsi="Arial" w:cs="Arial"/>
          <w:color w:val="222222"/>
          <w:sz w:val="22"/>
          <w:szCs w:val="22"/>
          <w:shd w:val="clear" w:color="auto" w:fill="FFFFFF"/>
          <w:lang w:val="en-US"/>
        </w:rPr>
        <w:t>,</w:t>
      </w:r>
      <w:r w:rsidRPr="00544298">
        <w:rPr>
          <w:rStyle w:val="apple-converted-space"/>
          <w:rFonts w:ascii="Arial" w:hAnsi="Arial" w:cs="Arial"/>
          <w:color w:val="222222"/>
          <w:sz w:val="22"/>
          <w:szCs w:val="22"/>
          <w:shd w:val="clear" w:color="auto" w:fill="FFFFFF"/>
          <w:lang w:val="en-US"/>
        </w:rPr>
        <w:t> v.</w:t>
      </w:r>
      <w:r w:rsidR="008F6A09" w:rsidRPr="00544298">
        <w:rPr>
          <w:rFonts w:ascii="Arial" w:hAnsi="Arial" w:cs="Arial"/>
          <w:color w:val="222222"/>
          <w:sz w:val="22"/>
          <w:szCs w:val="22"/>
          <w:lang w:val="en-US"/>
        </w:rPr>
        <w:t>11</w:t>
      </w:r>
      <w:r w:rsidR="008F6A09" w:rsidRPr="00544298">
        <w:rPr>
          <w:rFonts w:ascii="Arial" w:hAnsi="Arial" w:cs="Arial"/>
          <w:color w:val="222222"/>
          <w:sz w:val="22"/>
          <w:szCs w:val="22"/>
          <w:shd w:val="clear" w:color="auto" w:fill="FFFFFF"/>
          <w:lang w:val="en-US"/>
        </w:rPr>
        <w:t xml:space="preserve">, </w:t>
      </w:r>
      <w:r w:rsidRPr="00544298">
        <w:rPr>
          <w:rFonts w:ascii="Arial" w:hAnsi="Arial" w:cs="Arial"/>
          <w:color w:val="222222"/>
          <w:sz w:val="22"/>
          <w:szCs w:val="22"/>
          <w:shd w:val="clear" w:color="auto" w:fill="FFFFFF"/>
          <w:lang w:val="en-US"/>
        </w:rPr>
        <w:t xml:space="preserve">2020, p. </w:t>
      </w:r>
      <w:r w:rsidR="008F6A09" w:rsidRPr="00544298">
        <w:rPr>
          <w:rFonts w:ascii="Arial" w:hAnsi="Arial" w:cs="Arial"/>
          <w:color w:val="222222"/>
          <w:sz w:val="22"/>
          <w:szCs w:val="22"/>
          <w:shd w:val="clear" w:color="auto" w:fill="FFFFFF"/>
          <w:lang w:val="en-US"/>
        </w:rPr>
        <w:t>979.</w:t>
      </w:r>
    </w:p>
    <w:p w14:paraId="5AE2700E" w14:textId="2817A4C6" w:rsidR="008F6A09" w:rsidRPr="00367B72" w:rsidRDefault="00AF6192" w:rsidP="00367B72">
      <w:pPr>
        <w:ind w:firstLine="720"/>
        <w:rPr>
          <w:rFonts w:ascii="Arial" w:hAnsi="Arial" w:cs="Arial"/>
          <w:sz w:val="22"/>
          <w:szCs w:val="22"/>
        </w:rPr>
      </w:pPr>
      <w:hyperlink r:id="rId23" w:history="1">
        <w:r w:rsidRPr="003B63C3">
          <w:rPr>
            <w:rStyle w:val="Hipervnculo"/>
            <w:rFonts w:ascii="Arial" w:hAnsi="Arial" w:cs="Arial"/>
            <w:sz w:val="22"/>
            <w:szCs w:val="22"/>
          </w:rPr>
          <w:t>https://doi.org/10.3389/fpls.2020.00979</w:t>
        </w:r>
      </w:hyperlink>
    </w:p>
    <w:p w14:paraId="5306A0E6" w14:textId="77777777" w:rsidR="00642333" w:rsidRDefault="002C6A02" w:rsidP="00963205">
      <w:pPr>
        <w:ind w:left="720" w:hanging="720"/>
        <w:jc w:val="both"/>
        <w:rPr>
          <w:rFonts w:ascii="Arial" w:hAnsi="Arial" w:cs="Arial"/>
          <w:noProof/>
          <w:sz w:val="22"/>
          <w:szCs w:val="22"/>
          <w:lang w:val="en-US"/>
        </w:rPr>
      </w:pPr>
      <w:r w:rsidRPr="00555447">
        <w:rPr>
          <w:rFonts w:ascii="Arial" w:hAnsi="Arial" w:cs="Arial"/>
          <w:noProof/>
          <w:sz w:val="22"/>
          <w:szCs w:val="22"/>
          <w:lang w:val="en-US"/>
        </w:rPr>
        <w:t>ESTRADA, G.A.</w:t>
      </w:r>
      <w:r w:rsidR="00367B72">
        <w:rPr>
          <w:rFonts w:ascii="Arial" w:hAnsi="Arial" w:cs="Arial"/>
          <w:noProof/>
          <w:sz w:val="22"/>
          <w:szCs w:val="22"/>
          <w:lang w:val="en-US"/>
        </w:rPr>
        <w:t>;</w:t>
      </w:r>
      <w:r w:rsidRPr="00555447">
        <w:rPr>
          <w:rFonts w:ascii="Arial" w:hAnsi="Arial" w:cs="Arial"/>
          <w:noProof/>
          <w:sz w:val="22"/>
          <w:szCs w:val="22"/>
          <w:lang w:val="en-US"/>
        </w:rPr>
        <w:t xml:space="preserve"> BALDANI, V.L.D.</w:t>
      </w:r>
      <w:r w:rsidR="00367B72">
        <w:rPr>
          <w:rFonts w:ascii="Arial" w:hAnsi="Arial" w:cs="Arial"/>
          <w:noProof/>
          <w:sz w:val="22"/>
          <w:szCs w:val="22"/>
          <w:lang w:val="en-US"/>
        </w:rPr>
        <w:t>;</w:t>
      </w:r>
      <w:r w:rsidRPr="00555447">
        <w:rPr>
          <w:rFonts w:ascii="Arial" w:hAnsi="Arial" w:cs="Arial"/>
          <w:noProof/>
          <w:sz w:val="22"/>
          <w:szCs w:val="22"/>
          <w:lang w:val="en-US"/>
        </w:rPr>
        <w:t xml:space="preserve"> DE OLIVEIRA, D.M.</w:t>
      </w:r>
      <w:r w:rsidR="00367B72">
        <w:rPr>
          <w:rFonts w:ascii="Arial" w:hAnsi="Arial" w:cs="Arial"/>
          <w:noProof/>
          <w:sz w:val="22"/>
          <w:szCs w:val="22"/>
          <w:lang w:val="en-US"/>
        </w:rPr>
        <w:t>;</w:t>
      </w:r>
      <w:r w:rsidRPr="00555447">
        <w:rPr>
          <w:rFonts w:ascii="Arial" w:hAnsi="Arial" w:cs="Arial"/>
          <w:noProof/>
          <w:sz w:val="22"/>
          <w:szCs w:val="22"/>
          <w:lang w:val="en-US"/>
        </w:rPr>
        <w:t xml:space="preserve"> URQUIAGA, S.</w:t>
      </w:r>
      <w:r w:rsidR="00367B72">
        <w:rPr>
          <w:rFonts w:ascii="Arial" w:hAnsi="Arial" w:cs="Arial"/>
          <w:noProof/>
          <w:sz w:val="22"/>
          <w:szCs w:val="22"/>
          <w:lang w:val="en-US"/>
        </w:rPr>
        <w:t>;</w:t>
      </w:r>
      <w:r w:rsidRPr="00555447">
        <w:rPr>
          <w:rFonts w:ascii="Arial" w:hAnsi="Arial" w:cs="Arial"/>
          <w:noProof/>
          <w:sz w:val="22"/>
          <w:szCs w:val="22"/>
          <w:lang w:val="en-US"/>
        </w:rPr>
        <w:t xml:space="preserve"> BALDANI, J.I. </w:t>
      </w:r>
      <w:r w:rsidR="000E7723" w:rsidRPr="00555447">
        <w:rPr>
          <w:rFonts w:ascii="Arial" w:hAnsi="Arial" w:cs="Arial"/>
          <w:noProof/>
          <w:sz w:val="22"/>
          <w:szCs w:val="22"/>
          <w:lang w:val="en-US"/>
        </w:rPr>
        <w:t xml:space="preserve">Selection of phosphate-solubilizing diazotrophic </w:t>
      </w:r>
      <w:r w:rsidR="000E7723" w:rsidRPr="00367B72">
        <w:rPr>
          <w:rFonts w:ascii="Arial" w:hAnsi="Arial" w:cs="Arial"/>
          <w:i/>
          <w:iCs/>
          <w:noProof/>
          <w:sz w:val="22"/>
          <w:szCs w:val="22"/>
          <w:lang w:val="en-US"/>
        </w:rPr>
        <w:t>Herbaspirillum</w:t>
      </w:r>
      <w:r w:rsidR="000E7723" w:rsidRPr="00555447">
        <w:rPr>
          <w:rFonts w:ascii="Arial" w:hAnsi="Arial" w:cs="Arial"/>
          <w:noProof/>
          <w:sz w:val="22"/>
          <w:szCs w:val="22"/>
          <w:lang w:val="en-US"/>
        </w:rPr>
        <w:t xml:space="preserve"> and </w:t>
      </w:r>
      <w:r w:rsidR="000E7723" w:rsidRPr="00903B00">
        <w:rPr>
          <w:rFonts w:ascii="Arial" w:hAnsi="Arial" w:cs="Arial"/>
          <w:i/>
          <w:iCs/>
          <w:noProof/>
          <w:sz w:val="22"/>
          <w:szCs w:val="22"/>
          <w:lang w:val="en-US"/>
        </w:rPr>
        <w:t>Burkholderia</w:t>
      </w:r>
      <w:r w:rsidR="000E7723" w:rsidRPr="00555447">
        <w:rPr>
          <w:rFonts w:ascii="Arial" w:hAnsi="Arial" w:cs="Arial"/>
          <w:noProof/>
          <w:sz w:val="22"/>
          <w:szCs w:val="22"/>
          <w:lang w:val="en-US"/>
        </w:rPr>
        <w:t xml:space="preserve"> strains and their effect on rice crop yield and nutrient uptake. Plant </w:t>
      </w:r>
      <w:r w:rsidR="00642333">
        <w:rPr>
          <w:rFonts w:ascii="Arial" w:hAnsi="Arial" w:cs="Arial"/>
          <w:noProof/>
          <w:sz w:val="22"/>
          <w:szCs w:val="22"/>
          <w:lang w:val="en-US"/>
        </w:rPr>
        <w:t xml:space="preserve">and </w:t>
      </w:r>
      <w:r w:rsidR="000E7723" w:rsidRPr="00555447">
        <w:rPr>
          <w:rFonts w:ascii="Arial" w:hAnsi="Arial" w:cs="Arial"/>
          <w:noProof/>
          <w:sz w:val="22"/>
          <w:szCs w:val="22"/>
          <w:lang w:val="en-US"/>
        </w:rPr>
        <w:t>Soil</w:t>
      </w:r>
      <w:r w:rsidR="00642333">
        <w:rPr>
          <w:rFonts w:ascii="Arial" w:hAnsi="Arial" w:cs="Arial"/>
          <w:noProof/>
          <w:sz w:val="22"/>
          <w:szCs w:val="22"/>
          <w:lang w:val="en-US"/>
        </w:rPr>
        <w:t>, v.</w:t>
      </w:r>
      <w:r w:rsidR="000E7723" w:rsidRPr="00555447">
        <w:rPr>
          <w:rFonts w:ascii="Arial" w:hAnsi="Arial" w:cs="Arial"/>
          <w:noProof/>
          <w:sz w:val="22"/>
          <w:szCs w:val="22"/>
          <w:lang w:val="en-US"/>
        </w:rPr>
        <w:t xml:space="preserve"> 369</w:t>
      </w:r>
      <w:r w:rsidR="00642333">
        <w:rPr>
          <w:rFonts w:ascii="Arial" w:hAnsi="Arial" w:cs="Arial"/>
          <w:noProof/>
          <w:sz w:val="22"/>
          <w:szCs w:val="22"/>
          <w:lang w:val="en-US"/>
        </w:rPr>
        <w:t xml:space="preserve">, n. </w:t>
      </w:r>
      <w:r w:rsidR="000E7723" w:rsidRPr="00555447">
        <w:rPr>
          <w:rFonts w:ascii="Arial" w:hAnsi="Arial" w:cs="Arial"/>
          <w:noProof/>
          <w:sz w:val="22"/>
          <w:szCs w:val="22"/>
          <w:lang w:val="en-US"/>
        </w:rPr>
        <w:t>1-2</w:t>
      </w:r>
      <w:r w:rsidR="00B71F3D" w:rsidRPr="00555447">
        <w:rPr>
          <w:rFonts w:ascii="Arial" w:hAnsi="Arial" w:cs="Arial"/>
          <w:noProof/>
          <w:sz w:val="22"/>
          <w:szCs w:val="22"/>
          <w:lang w:val="en-US"/>
        </w:rPr>
        <w:t>, 2013,</w:t>
      </w:r>
      <w:r w:rsidR="000E7723" w:rsidRPr="00555447">
        <w:rPr>
          <w:rFonts w:ascii="Arial" w:hAnsi="Arial" w:cs="Arial"/>
          <w:noProof/>
          <w:sz w:val="22"/>
          <w:szCs w:val="22"/>
          <w:lang w:val="en-US"/>
        </w:rPr>
        <w:t xml:space="preserve"> </w:t>
      </w:r>
      <w:r w:rsidR="00642333">
        <w:rPr>
          <w:rFonts w:ascii="Arial" w:hAnsi="Arial" w:cs="Arial"/>
          <w:noProof/>
          <w:sz w:val="22"/>
          <w:szCs w:val="22"/>
          <w:lang w:val="en-US"/>
        </w:rPr>
        <w:t xml:space="preserve">p. </w:t>
      </w:r>
      <w:r w:rsidR="000E7723" w:rsidRPr="00555447">
        <w:rPr>
          <w:rFonts w:ascii="Arial" w:hAnsi="Arial" w:cs="Arial"/>
          <w:noProof/>
          <w:sz w:val="22"/>
          <w:szCs w:val="22"/>
          <w:lang w:val="en-US"/>
        </w:rPr>
        <w:t xml:space="preserve">115–129.  </w:t>
      </w:r>
    </w:p>
    <w:p w14:paraId="5CD1ADA0" w14:textId="4E7A0B7E" w:rsidR="000E7723" w:rsidRPr="00555447" w:rsidRDefault="00672177" w:rsidP="00642333">
      <w:pPr>
        <w:ind w:left="720"/>
        <w:jc w:val="both"/>
        <w:rPr>
          <w:rFonts w:ascii="Arial" w:hAnsi="Arial" w:cs="Arial"/>
          <w:noProof/>
          <w:sz w:val="22"/>
          <w:szCs w:val="22"/>
          <w:lang w:val="en-US"/>
        </w:rPr>
      </w:pPr>
      <w:hyperlink r:id="rId24" w:history="1">
        <w:r w:rsidRPr="003B63C3">
          <w:rPr>
            <w:rStyle w:val="Hipervnculo"/>
            <w:rFonts w:ascii="Arial" w:hAnsi="Arial" w:cs="Arial"/>
            <w:noProof/>
            <w:sz w:val="22"/>
            <w:szCs w:val="22"/>
          </w:rPr>
          <w:t>http://doi.org/10.1007/s11104-012-1550-7</w:t>
        </w:r>
      </w:hyperlink>
    </w:p>
    <w:p w14:paraId="6115974A" w14:textId="3B17B5E5" w:rsidR="007A4903" w:rsidRPr="00672177" w:rsidRDefault="000E7723" w:rsidP="00672177">
      <w:pPr>
        <w:ind w:left="720" w:hanging="720"/>
        <w:jc w:val="both"/>
        <w:rPr>
          <w:rFonts w:ascii="Arial" w:hAnsi="Arial" w:cs="Arial"/>
          <w:noProof/>
          <w:sz w:val="22"/>
          <w:szCs w:val="22"/>
          <w:lang w:val="en-US"/>
        </w:rPr>
      </w:pPr>
      <w:r w:rsidRPr="00555447">
        <w:rPr>
          <w:rFonts w:ascii="Arial" w:hAnsi="Arial" w:cs="Arial"/>
          <w:noProof/>
          <w:sz w:val="22"/>
          <w:szCs w:val="22"/>
          <w:lang w:val="en-US"/>
        </w:rPr>
        <w:t>FAOSTAT Production—Crops—Area Harvested/Production Quantity—Tomatoes. Available online: www.fao.org/faostat/en (accessed on 1 September 201</w:t>
      </w:r>
      <w:r w:rsidR="00D31A87" w:rsidRPr="00555447">
        <w:rPr>
          <w:rFonts w:ascii="Arial" w:hAnsi="Arial" w:cs="Arial"/>
          <w:noProof/>
          <w:sz w:val="22"/>
          <w:szCs w:val="22"/>
          <w:lang w:val="en-US"/>
        </w:rPr>
        <w:t>9</w:t>
      </w:r>
      <w:r w:rsidRPr="00555447">
        <w:rPr>
          <w:rFonts w:ascii="Arial" w:hAnsi="Arial" w:cs="Arial"/>
          <w:noProof/>
          <w:sz w:val="22"/>
          <w:szCs w:val="22"/>
          <w:lang w:val="en-US"/>
        </w:rPr>
        <w:t>)</w:t>
      </w:r>
      <w:r w:rsidR="00B71F3D" w:rsidRPr="00555447">
        <w:rPr>
          <w:rFonts w:ascii="Arial" w:hAnsi="Arial" w:cs="Arial"/>
          <w:noProof/>
          <w:sz w:val="22"/>
          <w:szCs w:val="22"/>
          <w:lang w:val="en-US"/>
        </w:rPr>
        <w:t>.</w:t>
      </w:r>
    </w:p>
    <w:p w14:paraId="55873741" w14:textId="55BB2B3E" w:rsidR="007A4903" w:rsidRPr="00672177" w:rsidRDefault="00672177" w:rsidP="00A74132">
      <w:pPr>
        <w:ind w:left="720" w:hanging="720"/>
        <w:jc w:val="both"/>
        <w:rPr>
          <w:rFonts w:ascii="Arial" w:hAnsi="Arial" w:cs="Arial"/>
          <w:sz w:val="22"/>
          <w:szCs w:val="22"/>
          <w:lang w:val="en-US"/>
        </w:rPr>
      </w:pPr>
      <w:r w:rsidRPr="00555447">
        <w:rPr>
          <w:rFonts w:ascii="Arial" w:hAnsi="Arial" w:cs="Arial"/>
          <w:color w:val="222222"/>
          <w:sz w:val="22"/>
          <w:szCs w:val="22"/>
          <w:shd w:val="clear" w:color="auto" w:fill="FFFFFF"/>
        </w:rPr>
        <w:t>IBÁÑEZ, A.</w:t>
      </w:r>
      <w:r>
        <w:rPr>
          <w:rFonts w:ascii="Arial" w:hAnsi="Arial" w:cs="Arial"/>
          <w:color w:val="222222"/>
          <w:sz w:val="22"/>
          <w:szCs w:val="22"/>
          <w:shd w:val="clear" w:color="auto" w:fill="FFFFFF"/>
        </w:rPr>
        <w:t>;</w:t>
      </w:r>
      <w:r w:rsidRPr="00555447">
        <w:rPr>
          <w:rFonts w:ascii="Arial" w:hAnsi="Arial" w:cs="Arial"/>
          <w:color w:val="222222"/>
          <w:sz w:val="22"/>
          <w:szCs w:val="22"/>
          <w:shd w:val="clear" w:color="auto" w:fill="FFFFFF"/>
        </w:rPr>
        <w:t xml:space="preserve"> DIEZ-GALÁN, A.</w:t>
      </w:r>
      <w:r>
        <w:rPr>
          <w:rFonts w:ascii="Arial" w:hAnsi="Arial" w:cs="Arial"/>
          <w:color w:val="222222"/>
          <w:sz w:val="22"/>
          <w:szCs w:val="22"/>
          <w:shd w:val="clear" w:color="auto" w:fill="FFFFFF"/>
        </w:rPr>
        <w:t>;</w:t>
      </w:r>
      <w:r w:rsidRPr="00555447">
        <w:rPr>
          <w:rFonts w:ascii="Arial" w:hAnsi="Arial" w:cs="Arial"/>
          <w:color w:val="222222"/>
          <w:sz w:val="22"/>
          <w:szCs w:val="22"/>
          <w:shd w:val="clear" w:color="auto" w:fill="FFFFFF"/>
        </w:rPr>
        <w:t xml:space="preserve"> COBOS, R.</w:t>
      </w:r>
      <w:r>
        <w:rPr>
          <w:rFonts w:ascii="Arial" w:hAnsi="Arial" w:cs="Arial"/>
          <w:color w:val="222222"/>
          <w:sz w:val="22"/>
          <w:szCs w:val="22"/>
          <w:shd w:val="clear" w:color="auto" w:fill="FFFFFF"/>
        </w:rPr>
        <w:t>;</w:t>
      </w:r>
      <w:r w:rsidRPr="00555447">
        <w:rPr>
          <w:rFonts w:ascii="Arial" w:hAnsi="Arial" w:cs="Arial"/>
          <w:color w:val="222222"/>
          <w:sz w:val="22"/>
          <w:szCs w:val="22"/>
          <w:shd w:val="clear" w:color="auto" w:fill="FFFFFF"/>
        </w:rPr>
        <w:t xml:space="preserve"> CALVO-PEÑA, C.</w:t>
      </w:r>
      <w:r>
        <w:rPr>
          <w:rFonts w:ascii="Arial" w:hAnsi="Arial" w:cs="Arial"/>
          <w:color w:val="222222"/>
          <w:sz w:val="22"/>
          <w:szCs w:val="22"/>
          <w:shd w:val="clear" w:color="auto" w:fill="FFFFFF"/>
        </w:rPr>
        <w:t>;</w:t>
      </w:r>
      <w:r w:rsidRPr="00555447">
        <w:rPr>
          <w:rFonts w:ascii="Arial" w:hAnsi="Arial" w:cs="Arial"/>
          <w:color w:val="222222"/>
          <w:sz w:val="22"/>
          <w:szCs w:val="22"/>
          <w:shd w:val="clear" w:color="auto" w:fill="FFFFFF"/>
        </w:rPr>
        <w:t xml:space="preserve"> BARREIRO, C.</w:t>
      </w:r>
      <w:r>
        <w:rPr>
          <w:rFonts w:ascii="Arial" w:hAnsi="Arial" w:cs="Arial"/>
          <w:color w:val="222222"/>
          <w:sz w:val="22"/>
          <w:szCs w:val="22"/>
          <w:shd w:val="clear" w:color="auto" w:fill="FFFFFF"/>
        </w:rPr>
        <w:t>;</w:t>
      </w:r>
      <w:r w:rsidRPr="00555447">
        <w:rPr>
          <w:rFonts w:ascii="Arial" w:hAnsi="Arial" w:cs="Arial"/>
          <w:color w:val="222222"/>
          <w:sz w:val="22"/>
          <w:szCs w:val="22"/>
          <w:shd w:val="clear" w:color="auto" w:fill="FFFFFF"/>
        </w:rPr>
        <w:t xml:space="preserve"> MEDINA-TURIENZO, J.</w:t>
      </w:r>
      <w:r>
        <w:rPr>
          <w:rFonts w:ascii="Arial" w:hAnsi="Arial" w:cs="Arial"/>
          <w:color w:val="222222"/>
          <w:sz w:val="22"/>
          <w:szCs w:val="22"/>
          <w:shd w:val="clear" w:color="auto" w:fill="FFFFFF"/>
        </w:rPr>
        <w:t>;</w:t>
      </w:r>
      <w:r w:rsidRPr="00555447">
        <w:rPr>
          <w:rFonts w:ascii="Arial" w:hAnsi="Arial" w:cs="Arial"/>
          <w:color w:val="222222"/>
          <w:sz w:val="22"/>
          <w:szCs w:val="22"/>
          <w:shd w:val="clear" w:color="auto" w:fill="FFFFFF"/>
        </w:rPr>
        <w:t xml:space="preserve"> ... </w:t>
      </w:r>
      <w:r w:rsidRPr="005F196E">
        <w:rPr>
          <w:rFonts w:ascii="Arial" w:hAnsi="Arial" w:cs="Arial"/>
          <w:color w:val="222222"/>
          <w:sz w:val="22"/>
          <w:szCs w:val="22"/>
          <w:shd w:val="clear" w:color="auto" w:fill="FFFFFF"/>
          <w:lang w:val="en-US"/>
        </w:rPr>
        <w:t>COQUE, J. J. R</w:t>
      </w:r>
      <w:r w:rsidR="007A4903" w:rsidRPr="005F196E">
        <w:rPr>
          <w:rFonts w:ascii="Arial" w:hAnsi="Arial" w:cs="Arial"/>
          <w:color w:val="222222"/>
          <w:sz w:val="22"/>
          <w:szCs w:val="22"/>
          <w:shd w:val="clear" w:color="auto" w:fill="FFFFFF"/>
          <w:lang w:val="en-US"/>
        </w:rPr>
        <w:t xml:space="preserve">. </w:t>
      </w:r>
      <w:r w:rsidR="007A4903" w:rsidRPr="00555447">
        <w:rPr>
          <w:rFonts w:ascii="Arial" w:hAnsi="Arial" w:cs="Arial"/>
          <w:color w:val="222222"/>
          <w:sz w:val="22"/>
          <w:szCs w:val="22"/>
          <w:shd w:val="clear" w:color="auto" w:fill="FFFFFF"/>
          <w:lang w:val="en-US"/>
        </w:rPr>
        <w:t>Using Rhizosphere Phosphate Solubilizing Bacteria to Improve Barley (</w:t>
      </w:r>
      <w:r w:rsidR="007A4903" w:rsidRPr="00672177">
        <w:rPr>
          <w:rFonts w:ascii="Arial" w:hAnsi="Arial" w:cs="Arial"/>
          <w:i/>
          <w:iCs/>
          <w:color w:val="222222"/>
          <w:sz w:val="22"/>
          <w:szCs w:val="22"/>
          <w:shd w:val="clear" w:color="auto" w:fill="FFFFFF"/>
          <w:lang w:val="en-US"/>
        </w:rPr>
        <w:t>Hordeum vulgare</w:t>
      </w:r>
      <w:r w:rsidR="007A4903" w:rsidRPr="00555447">
        <w:rPr>
          <w:rFonts w:ascii="Arial" w:hAnsi="Arial" w:cs="Arial"/>
          <w:color w:val="222222"/>
          <w:sz w:val="22"/>
          <w:szCs w:val="22"/>
          <w:shd w:val="clear" w:color="auto" w:fill="FFFFFF"/>
          <w:lang w:val="en-US"/>
        </w:rPr>
        <w:t>) Plant Productivity.</w:t>
      </w:r>
      <w:r w:rsidR="007A4903" w:rsidRPr="00555447">
        <w:rPr>
          <w:rStyle w:val="apple-converted-space"/>
          <w:rFonts w:ascii="Arial" w:hAnsi="Arial" w:cs="Arial"/>
          <w:color w:val="222222"/>
          <w:sz w:val="22"/>
          <w:szCs w:val="22"/>
          <w:shd w:val="clear" w:color="auto" w:fill="FFFFFF"/>
          <w:lang w:val="en-US"/>
        </w:rPr>
        <w:t> </w:t>
      </w:r>
      <w:r w:rsidR="007A4903" w:rsidRPr="00672177">
        <w:rPr>
          <w:rFonts w:ascii="Arial" w:hAnsi="Arial" w:cs="Arial"/>
          <w:color w:val="222222"/>
          <w:sz w:val="22"/>
          <w:szCs w:val="22"/>
          <w:lang w:val="en-US"/>
        </w:rPr>
        <w:t>Microorganisms</w:t>
      </w:r>
      <w:r w:rsidR="007A4903" w:rsidRPr="00672177">
        <w:rPr>
          <w:rFonts w:ascii="Arial" w:hAnsi="Arial" w:cs="Arial"/>
          <w:color w:val="222222"/>
          <w:sz w:val="22"/>
          <w:szCs w:val="22"/>
          <w:shd w:val="clear" w:color="auto" w:fill="FFFFFF"/>
          <w:lang w:val="en-US"/>
        </w:rPr>
        <w:t>,</w:t>
      </w:r>
      <w:r w:rsidR="007A4903" w:rsidRPr="00672177">
        <w:rPr>
          <w:rStyle w:val="apple-converted-space"/>
          <w:rFonts w:ascii="Arial" w:hAnsi="Arial" w:cs="Arial"/>
          <w:color w:val="222222"/>
          <w:sz w:val="22"/>
          <w:szCs w:val="22"/>
          <w:shd w:val="clear" w:color="auto" w:fill="FFFFFF"/>
          <w:lang w:val="en-US"/>
        </w:rPr>
        <w:t> </w:t>
      </w:r>
      <w:r w:rsidR="00B05415">
        <w:rPr>
          <w:rStyle w:val="apple-converted-space"/>
          <w:rFonts w:ascii="Arial" w:hAnsi="Arial" w:cs="Arial"/>
          <w:color w:val="222222"/>
          <w:sz w:val="22"/>
          <w:szCs w:val="22"/>
          <w:shd w:val="clear" w:color="auto" w:fill="FFFFFF"/>
          <w:lang w:val="en-US"/>
        </w:rPr>
        <w:t xml:space="preserve">v. </w:t>
      </w:r>
      <w:r w:rsidR="007A4903" w:rsidRPr="00672177">
        <w:rPr>
          <w:rFonts w:ascii="Arial" w:hAnsi="Arial" w:cs="Arial"/>
          <w:color w:val="222222"/>
          <w:sz w:val="22"/>
          <w:szCs w:val="22"/>
          <w:lang w:val="en-US"/>
        </w:rPr>
        <w:t>9</w:t>
      </w:r>
      <w:r w:rsidR="00B05415">
        <w:rPr>
          <w:rFonts w:ascii="Arial" w:hAnsi="Arial" w:cs="Arial"/>
          <w:color w:val="222222"/>
          <w:sz w:val="22"/>
          <w:szCs w:val="22"/>
          <w:lang w:val="en-US"/>
        </w:rPr>
        <w:t xml:space="preserve">, n. </w:t>
      </w:r>
      <w:r w:rsidR="007A4903" w:rsidRPr="00672177">
        <w:rPr>
          <w:rFonts w:ascii="Arial" w:hAnsi="Arial" w:cs="Arial"/>
          <w:color w:val="222222"/>
          <w:sz w:val="22"/>
          <w:szCs w:val="22"/>
          <w:shd w:val="clear" w:color="auto" w:fill="FFFFFF"/>
          <w:lang w:val="en-US"/>
        </w:rPr>
        <w:t xml:space="preserve">8, </w:t>
      </w:r>
      <w:r w:rsidR="00B05415">
        <w:rPr>
          <w:rFonts w:ascii="Arial" w:hAnsi="Arial" w:cs="Arial"/>
          <w:color w:val="222222"/>
          <w:sz w:val="22"/>
          <w:szCs w:val="22"/>
          <w:shd w:val="clear" w:color="auto" w:fill="FFFFFF"/>
          <w:lang w:val="en-US"/>
        </w:rPr>
        <w:t xml:space="preserve">2021, p. </w:t>
      </w:r>
      <w:r w:rsidR="007A4903" w:rsidRPr="00672177">
        <w:rPr>
          <w:rFonts w:ascii="Arial" w:hAnsi="Arial" w:cs="Arial"/>
          <w:color w:val="222222"/>
          <w:sz w:val="22"/>
          <w:szCs w:val="22"/>
          <w:shd w:val="clear" w:color="auto" w:fill="FFFFFF"/>
          <w:lang w:val="en-US"/>
        </w:rPr>
        <w:t>1619.</w:t>
      </w:r>
    </w:p>
    <w:p w14:paraId="333C4E70" w14:textId="4A019FCF" w:rsidR="00E448BC" w:rsidRPr="00DC4FF9" w:rsidRDefault="007A4903" w:rsidP="00DC4FF9">
      <w:pPr>
        <w:ind w:left="720"/>
        <w:jc w:val="both"/>
        <w:rPr>
          <w:rStyle w:val="Hipervnculo"/>
          <w:rFonts w:ascii="Arial" w:hAnsi="Arial" w:cs="Arial"/>
          <w:noProof/>
          <w:sz w:val="22"/>
          <w:szCs w:val="22"/>
        </w:rPr>
      </w:pPr>
      <w:hyperlink r:id="rId25" w:history="1">
        <w:r w:rsidRPr="007A4903">
          <w:rPr>
            <w:rStyle w:val="Hipervnculo"/>
            <w:rFonts w:ascii="Arial" w:hAnsi="Arial" w:cs="Arial"/>
            <w:noProof/>
            <w:sz w:val="22"/>
            <w:szCs w:val="22"/>
          </w:rPr>
          <w:t>https://doi.org/10.3390/microorganisms9081619</w:t>
        </w:r>
      </w:hyperlink>
    </w:p>
    <w:p w14:paraId="4BEEAF94" w14:textId="47B54F6B" w:rsidR="00E448BC" w:rsidRPr="00E34BF2" w:rsidRDefault="00DC4FF9" w:rsidP="00E34BF2">
      <w:pPr>
        <w:ind w:left="720" w:hanging="720"/>
        <w:jc w:val="both"/>
        <w:rPr>
          <w:rStyle w:val="Hipervnculo"/>
          <w:rFonts w:ascii="Arial" w:hAnsi="Arial" w:cs="Arial"/>
          <w:color w:val="auto"/>
          <w:sz w:val="22"/>
          <w:szCs w:val="22"/>
          <w:u w:val="none"/>
          <w:lang w:val="en-US"/>
        </w:rPr>
      </w:pPr>
      <w:r w:rsidRPr="00963205">
        <w:rPr>
          <w:rFonts w:ascii="Arial" w:eastAsia="Arial" w:hAnsi="Arial" w:cs="Arial"/>
          <w:sz w:val="22"/>
          <w:szCs w:val="22"/>
          <w:lang w:val="en" w:eastAsia="es-CO"/>
        </w:rPr>
        <w:t>KAFLE</w:t>
      </w:r>
      <w:r w:rsidRPr="00555447">
        <w:rPr>
          <w:rFonts w:ascii="Arial" w:hAnsi="Arial" w:cs="Arial"/>
          <w:color w:val="222222"/>
          <w:sz w:val="22"/>
          <w:szCs w:val="22"/>
          <w:shd w:val="clear" w:color="auto" w:fill="FFFFFF"/>
          <w:lang w:val="en-US"/>
        </w:rPr>
        <w:t>, A.</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COPE, K. R.</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RATHS, R.</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KRISHNA YAKHA, J.</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SUBRAMANIAN, S.</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BÜCKING, H.</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GARCIA, K</w:t>
      </w:r>
      <w:r w:rsidR="00E448BC" w:rsidRPr="00555447">
        <w:rPr>
          <w:rFonts w:ascii="Arial" w:hAnsi="Arial" w:cs="Arial"/>
          <w:color w:val="222222"/>
          <w:sz w:val="22"/>
          <w:szCs w:val="22"/>
          <w:shd w:val="clear" w:color="auto" w:fill="FFFFFF"/>
          <w:lang w:val="en-US"/>
        </w:rPr>
        <w:t>. Harnessing soil microbes to improve plant phosphate efficiency in cropping systems.</w:t>
      </w:r>
      <w:r w:rsidR="00E448BC" w:rsidRPr="00555447">
        <w:rPr>
          <w:rStyle w:val="apple-converted-space"/>
          <w:rFonts w:ascii="Arial" w:hAnsi="Arial" w:cs="Arial"/>
          <w:color w:val="222222"/>
          <w:sz w:val="22"/>
          <w:szCs w:val="22"/>
          <w:shd w:val="clear" w:color="auto" w:fill="FFFFFF"/>
          <w:lang w:val="en-US"/>
        </w:rPr>
        <w:t> </w:t>
      </w:r>
      <w:r w:rsidR="00E448BC" w:rsidRPr="00DC4FF9">
        <w:rPr>
          <w:rFonts w:ascii="Arial" w:hAnsi="Arial" w:cs="Arial"/>
          <w:color w:val="222222"/>
          <w:sz w:val="22"/>
          <w:szCs w:val="22"/>
          <w:lang w:val="en-US"/>
        </w:rPr>
        <w:t>Agronomy</w:t>
      </w:r>
      <w:r w:rsidR="00E448BC" w:rsidRPr="00DC4FF9">
        <w:rPr>
          <w:rFonts w:ascii="Arial" w:hAnsi="Arial" w:cs="Arial"/>
          <w:color w:val="222222"/>
          <w:sz w:val="22"/>
          <w:szCs w:val="22"/>
          <w:shd w:val="clear" w:color="auto" w:fill="FFFFFF"/>
          <w:lang w:val="en-US"/>
        </w:rPr>
        <w:t>,</w:t>
      </w:r>
      <w:r w:rsidR="00E448BC" w:rsidRPr="00DC4FF9">
        <w:rPr>
          <w:rStyle w:val="apple-converted-space"/>
          <w:rFonts w:ascii="Arial" w:hAnsi="Arial" w:cs="Arial"/>
          <w:color w:val="222222"/>
          <w:sz w:val="22"/>
          <w:szCs w:val="22"/>
          <w:shd w:val="clear" w:color="auto" w:fill="FFFFFF"/>
          <w:lang w:val="en-US"/>
        </w:rPr>
        <w:t> </w:t>
      </w:r>
      <w:r>
        <w:rPr>
          <w:rStyle w:val="apple-converted-space"/>
          <w:rFonts w:ascii="Arial" w:hAnsi="Arial" w:cs="Arial"/>
          <w:color w:val="222222"/>
          <w:sz w:val="22"/>
          <w:szCs w:val="22"/>
          <w:shd w:val="clear" w:color="auto" w:fill="FFFFFF"/>
          <w:lang w:val="en-US"/>
        </w:rPr>
        <w:t xml:space="preserve">v. </w:t>
      </w:r>
      <w:r w:rsidR="00E448BC" w:rsidRPr="00DC4FF9">
        <w:rPr>
          <w:rFonts w:ascii="Arial" w:hAnsi="Arial" w:cs="Arial"/>
          <w:color w:val="222222"/>
          <w:sz w:val="22"/>
          <w:szCs w:val="22"/>
          <w:lang w:val="en-US"/>
        </w:rPr>
        <w:t>9</w:t>
      </w:r>
      <w:r>
        <w:rPr>
          <w:rFonts w:ascii="Arial" w:hAnsi="Arial" w:cs="Arial"/>
          <w:color w:val="222222"/>
          <w:sz w:val="22"/>
          <w:szCs w:val="22"/>
          <w:lang w:val="en-US"/>
        </w:rPr>
        <w:t xml:space="preserve">, n. </w:t>
      </w:r>
      <w:r w:rsidR="00E448BC" w:rsidRPr="00DC4FF9">
        <w:rPr>
          <w:rFonts w:ascii="Arial" w:hAnsi="Arial" w:cs="Arial"/>
          <w:color w:val="222222"/>
          <w:sz w:val="22"/>
          <w:szCs w:val="22"/>
          <w:shd w:val="clear" w:color="auto" w:fill="FFFFFF"/>
          <w:lang w:val="en-US"/>
        </w:rPr>
        <w:t>3,</w:t>
      </w:r>
      <w:r w:rsidR="00E448BC" w:rsidRPr="00555447">
        <w:rPr>
          <w:rFonts w:ascii="Arial" w:hAnsi="Arial" w:cs="Arial"/>
          <w:color w:val="222222"/>
          <w:sz w:val="22"/>
          <w:szCs w:val="22"/>
          <w:shd w:val="clear" w:color="auto" w:fill="FFFFFF"/>
          <w:lang w:val="en-US"/>
        </w:rPr>
        <w:t xml:space="preserve"> </w:t>
      </w:r>
      <w:r>
        <w:rPr>
          <w:rFonts w:ascii="Arial" w:hAnsi="Arial" w:cs="Arial"/>
          <w:color w:val="222222"/>
          <w:sz w:val="22"/>
          <w:szCs w:val="22"/>
          <w:shd w:val="clear" w:color="auto" w:fill="FFFFFF"/>
          <w:lang w:val="en-US"/>
        </w:rPr>
        <w:t xml:space="preserve">2019, p. </w:t>
      </w:r>
      <w:r w:rsidR="00E448BC" w:rsidRPr="00555447">
        <w:rPr>
          <w:rFonts w:ascii="Arial" w:hAnsi="Arial" w:cs="Arial"/>
          <w:color w:val="222222"/>
          <w:sz w:val="22"/>
          <w:szCs w:val="22"/>
          <w:shd w:val="clear" w:color="auto" w:fill="FFFFFF"/>
          <w:lang w:val="en-US"/>
        </w:rPr>
        <w:t>127.</w:t>
      </w:r>
    </w:p>
    <w:p w14:paraId="62282148" w14:textId="77777777" w:rsidR="00E448BC" w:rsidRPr="00E448BC" w:rsidRDefault="00E448BC" w:rsidP="009F61FE">
      <w:pPr>
        <w:ind w:left="720"/>
        <w:jc w:val="both"/>
        <w:rPr>
          <w:rStyle w:val="Hipervnculo"/>
          <w:rFonts w:ascii="Arial" w:hAnsi="Arial" w:cs="Arial"/>
          <w:noProof/>
          <w:sz w:val="22"/>
          <w:szCs w:val="22"/>
        </w:rPr>
      </w:pPr>
      <w:hyperlink r:id="rId26" w:history="1">
        <w:r w:rsidRPr="00E448BC">
          <w:rPr>
            <w:rStyle w:val="Hipervnculo"/>
            <w:rFonts w:ascii="Arial" w:hAnsi="Arial" w:cs="Arial"/>
            <w:noProof/>
            <w:sz w:val="22"/>
            <w:szCs w:val="22"/>
          </w:rPr>
          <w:t>https://doi.org/10.3390/agronomy9030127</w:t>
        </w:r>
      </w:hyperlink>
    </w:p>
    <w:p w14:paraId="10933D35" w14:textId="7B9FDAEA" w:rsidR="00E448BC" w:rsidRPr="007950D2" w:rsidRDefault="00E448BC" w:rsidP="002C6A02">
      <w:pPr>
        <w:widowControl w:val="0"/>
        <w:autoSpaceDE w:val="0"/>
        <w:autoSpaceDN w:val="0"/>
        <w:adjustRightInd w:val="0"/>
        <w:ind w:left="480" w:hanging="480"/>
        <w:jc w:val="both"/>
        <w:rPr>
          <w:rStyle w:val="Hipervnculo"/>
          <w:rFonts w:ascii="Arial" w:hAnsi="Arial" w:cs="Arial"/>
          <w:sz w:val="22"/>
          <w:szCs w:val="22"/>
        </w:rPr>
      </w:pPr>
    </w:p>
    <w:p w14:paraId="3E9E39D8" w14:textId="571DF09B" w:rsidR="00E448BC" w:rsidRPr="007950D2" w:rsidRDefault="00E448BC" w:rsidP="002C6A02">
      <w:pPr>
        <w:widowControl w:val="0"/>
        <w:autoSpaceDE w:val="0"/>
        <w:autoSpaceDN w:val="0"/>
        <w:adjustRightInd w:val="0"/>
        <w:ind w:left="480" w:hanging="480"/>
        <w:jc w:val="both"/>
        <w:rPr>
          <w:rStyle w:val="Hipervnculo"/>
          <w:rFonts w:ascii="Arial" w:hAnsi="Arial" w:cs="Arial"/>
          <w:sz w:val="22"/>
          <w:szCs w:val="22"/>
        </w:rPr>
      </w:pPr>
    </w:p>
    <w:p w14:paraId="32A43BAF" w14:textId="61926617" w:rsidR="00E448BC" w:rsidRPr="007950D2" w:rsidRDefault="00E448BC" w:rsidP="002C6A02">
      <w:pPr>
        <w:widowControl w:val="0"/>
        <w:autoSpaceDE w:val="0"/>
        <w:autoSpaceDN w:val="0"/>
        <w:adjustRightInd w:val="0"/>
        <w:ind w:left="480" w:hanging="480"/>
        <w:jc w:val="both"/>
        <w:rPr>
          <w:rStyle w:val="Hipervnculo"/>
          <w:rFonts w:ascii="Arial" w:hAnsi="Arial" w:cs="Arial"/>
          <w:sz w:val="22"/>
          <w:szCs w:val="22"/>
        </w:rPr>
      </w:pPr>
    </w:p>
    <w:p w14:paraId="48635F11" w14:textId="77777777" w:rsidR="00E448BC" w:rsidRPr="007950D2" w:rsidRDefault="00E448BC" w:rsidP="002C6A02">
      <w:pPr>
        <w:widowControl w:val="0"/>
        <w:autoSpaceDE w:val="0"/>
        <w:autoSpaceDN w:val="0"/>
        <w:adjustRightInd w:val="0"/>
        <w:ind w:left="480" w:hanging="480"/>
        <w:jc w:val="both"/>
        <w:rPr>
          <w:rFonts w:ascii="Arial" w:hAnsi="Arial" w:cs="Arial"/>
          <w:noProof/>
          <w:sz w:val="22"/>
          <w:szCs w:val="22"/>
        </w:rPr>
      </w:pPr>
    </w:p>
    <w:p w14:paraId="2FCE1B0F" w14:textId="10F0CAD8" w:rsidR="00EC633F" w:rsidRPr="007950D2" w:rsidRDefault="00EC633F" w:rsidP="004942CE">
      <w:pPr>
        <w:widowControl w:val="0"/>
        <w:autoSpaceDE w:val="0"/>
        <w:autoSpaceDN w:val="0"/>
        <w:adjustRightInd w:val="0"/>
        <w:ind w:left="480"/>
        <w:jc w:val="both"/>
        <w:rPr>
          <w:rStyle w:val="Hipervnculo"/>
          <w:rFonts w:ascii="Arial" w:hAnsi="Arial" w:cs="Arial"/>
          <w:sz w:val="22"/>
          <w:szCs w:val="22"/>
        </w:rPr>
      </w:pPr>
    </w:p>
    <w:p w14:paraId="00A28362" w14:textId="759701F1" w:rsidR="00EC633F" w:rsidRPr="007950D2" w:rsidRDefault="00EC633F" w:rsidP="004942CE">
      <w:pPr>
        <w:widowControl w:val="0"/>
        <w:autoSpaceDE w:val="0"/>
        <w:autoSpaceDN w:val="0"/>
        <w:adjustRightInd w:val="0"/>
        <w:ind w:left="480"/>
        <w:jc w:val="both"/>
        <w:rPr>
          <w:rStyle w:val="Hipervnculo"/>
          <w:rFonts w:ascii="Arial" w:hAnsi="Arial" w:cs="Arial"/>
          <w:sz w:val="22"/>
          <w:szCs w:val="22"/>
        </w:rPr>
      </w:pPr>
    </w:p>
    <w:p w14:paraId="3D32755C" w14:textId="5473534B" w:rsidR="00EC633F" w:rsidRPr="008B5168" w:rsidRDefault="007950D2" w:rsidP="008B5168">
      <w:pPr>
        <w:ind w:left="720" w:hanging="720"/>
        <w:jc w:val="both"/>
        <w:rPr>
          <w:rStyle w:val="Hipervnculo"/>
          <w:rFonts w:ascii="Arial" w:hAnsi="Arial" w:cs="Arial"/>
          <w:color w:val="auto"/>
          <w:sz w:val="22"/>
          <w:szCs w:val="22"/>
          <w:u w:val="none"/>
          <w:lang w:val="en-US"/>
        </w:rPr>
      </w:pPr>
      <w:r w:rsidRPr="00446E7D">
        <w:rPr>
          <w:rFonts w:ascii="Arial" w:hAnsi="Arial" w:cs="Arial"/>
          <w:color w:val="222222"/>
          <w:sz w:val="22"/>
          <w:szCs w:val="22"/>
          <w:shd w:val="clear" w:color="auto" w:fill="FFFFFF"/>
          <w:lang w:val="en-US"/>
        </w:rPr>
        <w:t>KUDOYAROVA, G.; ARKHIPOVA, T.; KORSHUNOVA, T.; BAKAEVA, M.; LOGINOV, O.; DODD, I. C</w:t>
      </w:r>
      <w:r w:rsidR="00EC633F" w:rsidRPr="00446E7D">
        <w:rPr>
          <w:rFonts w:ascii="Arial" w:hAnsi="Arial" w:cs="Arial"/>
          <w:color w:val="222222"/>
          <w:sz w:val="22"/>
          <w:szCs w:val="22"/>
          <w:shd w:val="clear" w:color="auto" w:fill="FFFFFF"/>
          <w:lang w:val="en-US"/>
        </w:rPr>
        <w:t xml:space="preserve">. </w:t>
      </w:r>
      <w:r w:rsidR="00EC633F" w:rsidRPr="00555447">
        <w:rPr>
          <w:rFonts w:ascii="Arial" w:hAnsi="Arial" w:cs="Arial"/>
          <w:color w:val="222222"/>
          <w:sz w:val="22"/>
          <w:szCs w:val="22"/>
          <w:shd w:val="clear" w:color="auto" w:fill="FFFFFF"/>
          <w:lang w:val="en-US"/>
        </w:rPr>
        <w:t>Phytohormone mediation of interactions between plants and non-symbiotic growth promoting bacteria under edaphic stresses.</w:t>
      </w:r>
      <w:r w:rsidR="00EC633F" w:rsidRPr="00555447">
        <w:rPr>
          <w:rStyle w:val="apple-converted-space"/>
          <w:rFonts w:ascii="Arial" w:hAnsi="Arial" w:cs="Arial"/>
          <w:color w:val="222222"/>
          <w:sz w:val="22"/>
          <w:szCs w:val="22"/>
          <w:shd w:val="clear" w:color="auto" w:fill="FFFFFF"/>
          <w:lang w:val="en-US"/>
        </w:rPr>
        <w:t> </w:t>
      </w:r>
      <w:r w:rsidR="00EC633F" w:rsidRPr="00446E7D">
        <w:rPr>
          <w:rFonts w:ascii="Arial" w:hAnsi="Arial" w:cs="Arial"/>
          <w:color w:val="222222"/>
          <w:sz w:val="22"/>
          <w:szCs w:val="22"/>
          <w:lang w:val="en-US"/>
        </w:rPr>
        <w:t xml:space="preserve">Frontiers in </w:t>
      </w:r>
      <w:r w:rsidRPr="00446E7D">
        <w:rPr>
          <w:rFonts w:ascii="Arial" w:hAnsi="Arial" w:cs="Arial"/>
          <w:color w:val="222222"/>
          <w:sz w:val="22"/>
          <w:szCs w:val="22"/>
          <w:lang w:val="en-US"/>
        </w:rPr>
        <w:t>P</w:t>
      </w:r>
      <w:r w:rsidR="00EC633F" w:rsidRPr="00446E7D">
        <w:rPr>
          <w:rFonts w:ascii="Arial" w:hAnsi="Arial" w:cs="Arial"/>
          <w:color w:val="222222"/>
          <w:sz w:val="22"/>
          <w:szCs w:val="22"/>
          <w:lang w:val="en-US"/>
        </w:rPr>
        <w:t xml:space="preserve">lant </w:t>
      </w:r>
      <w:r w:rsidRPr="00446E7D">
        <w:rPr>
          <w:rFonts w:ascii="Arial" w:hAnsi="Arial" w:cs="Arial"/>
          <w:color w:val="222222"/>
          <w:sz w:val="22"/>
          <w:szCs w:val="22"/>
          <w:lang w:val="en-US"/>
        </w:rPr>
        <w:t>S</w:t>
      </w:r>
      <w:r w:rsidR="00EC633F" w:rsidRPr="00446E7D">
        <w:rPr>
          <w:rFonts w:ascii="Arial" w:hAnsi="Arial" w:cs="Arial"/>
          <w:color w:val="222222"/>
          <w:sz w:val="22"/>
          <w:szCs w:val="22"/>
          <w:lang w:val="en-US"/>
        </w:rPr>
        <w:t>cience</w:t>
      </w:r>
      <w:r w:rsidR="00EC633F" w:rsidRPr="00446E7D">
        <w:rPr>
          <w:rFonts w:ascii="Arial" w:hAnsi="Arial" w:cs="Arial"/>
          <w:color w:val="222222"/>
          <w:sz w:val="22"/>
          <w:szCs w:val="22"/>
          <w:shd w:val="clear" w:color="auto" w:fill="FFFFFF"/>
          <w:lang w:val="en-US"/>
        </w:rPr>
        <w:t>,</w:t>
      </w:r>
      <w:r w:rsidR="00EC633F" w:rsidRPr="00446E7D">
        <w:rPr>
          <w:rStyle w:val="apple-converted-space"/>
          <w:rFonts w:ascii="Arial" w:hAnsi="Arial" w:cs="Arial"/>
          <w:color w:val="222222"/>
          <w:sz w:val="22"/>
          <w:szCs w:val="22"/>
          <w:shd w:val="clear" w:color="auto" w:fill="FFFFFF"/>
          <w:lang w:val="en-US"/>
        </w:rPr>
        <w:t> </w:t>
      </w:r>
      <w:r w:rsidRPr="00446E7D">
        <w:rPr>
          <w:rStyle w:val="apple-converted-space"/>
          <w:rFonts w:ascii="Arial" w:hAnsi="Arial" w:cs="Arial"/>
          <w:color w:val="222222"/>
          <w:sz w:val="22"/>
          <w:szCs w:val="22"/>
          <w:shd w:val="clear" w:color="auto" w:fill="FFFFFF"/>
          <w:lang w:val="en-US"/>
        </w:rPr>
        <w:t xml:space="preserve">v. </w:t>
      </w:r>
      <w:r w:rsidR="00EC633F" w:rsidRPr="00446E7D">
        <w:rPr>
          <w:rFonts w:ascii="Arial" w:hAnsi="Arial" w:cs="Arial"/>
          <w:color w:val="222222"/>
          <w:sz w:val="22"/>
          <w:szCs w:val="22"/>
          <w:lang w:val="en-US"/>
        </w:rPr>
        <w:t>10</w:t>
      </w:r>
      <w:r w:rsidR="00EC633F" w:rsidRPr="00446E7D">
        <w:rPr>
          <w:rFonts w:ascii="Arial" w:hAnsi="Arial" w:cs="Arial"/>
          <w:color w:val="222222"/>
          <w:sz w:val="22"/>
          <w:szCs w:val="22"/>
          <w:shd w:val="clear" w:color="auto" w:fill="FFFFFF"/>
          <w:lang w:val="en-US"/>
        </w:rPr>
        <w:t xml:space="preserve">, </w:t>
      </w:r>
      <w:r w:rsidRPr="00446E7D">
        <w:rPr>
          <w:rFonts w:ascii="Arial" w:hAnsi="Arial" w:cs="Arial"/>
          <w:color w:val="222222"/>
          <w:sz w:val="22"/>
          <w:szCs w:val="22"/>
          <w:shd w:val="clear" w:color="auto" w:fill="FFFFFF"/>
          <w:lang w:val="en-US"/>
        </w:rPr>
        <w:t xml:space="preserve">2019, p. </w:t>
      </w:r>
      <w:r w:rsidR="00EC633F" w:rsidRPr="00446E7D">
        <w:rPr>
          <w:rFonts w:ascii="Arial" w:hAnsi="Arial" w:cs="Arial"/>
          <w:color w:val="222222"/>
          <w:sz w:val="22"/>
          <w:szCs w:val="22"/>
          <w:shd w:val="clear" w:color="auto" w:fill="FFFFFF"/>
          <w:lang w:val="en-US"/>
        </w:rPr>
        <w:t>1368.</w:t>
      </w:r>
    </w:p>
    <w:p w14:paraId="7786CB7A" w14:textId="674F4F51" w:rsidR="009A60EF" w:rsidRPr="008B5168" w:rsidRDefault="00EC633F" w:rsidP="008B5168">
      <w:pPr>
        <w:ind w:left="720"/>
        <w:jc w:val="both"/>
        <w:rPr>
          <w:rFonts w:ascii="Arial" w:hAnsi="Arial" w:cs="Arial"/>
          <w:noProof/>
          <w:color w:val="0563C1" w:themeColor="hyperlink"/>
          <w:sz w:val="22"/>
          <w:szCs w:val="22"/>
          <w:u w:val="single"/>
        </w:rPr>
      </w:pPr>
      <w:hyperlink r:id="rId27" w:history="1">
        <w:r w:rsidRPr="00EC633F">
          <w:rPr>
            <w:rStyle w:val="Hipervnculo"/>
            <w:rFonts w:ascii="Arial" w:hAnsi="Arial" w:cs="Arial"/>
            <w:noProof/>
            <w:sz w:val="22"/>
            <w:szCs w:val="22"/>
          </w:rPr>
          <w:t>https://doi.org/10.3389/fpls.2019.01368</w:t>
        </w:r>
      </w:hyperlink>
    </w:p>
    <w:p w14:paraId="463DF427" w14:textId="0DEFBBAB" w:rsidR="00EC633F" w:rsidRPr="00693136" w:rsidRDefault="00FB4D75" w:rsidP="00693136">
      <w:pPr>
        <w:ind w:left="720" w:hanging="720"/>
        <w:jc w:val="both"/>
        <w:rPr>
          <w:rStyle w:val="Hipervnculo"/>
          <w:rFonts w:ascii="Arial" w:hAnsi="Arial" w:cs="Arial"/>
          <w:color w:val="auto"/>
          <w:sz w:val="22"/>
          <w:szCs w:val="22"/>
          <w:u w:val="none"/>
          <w:lang w:val="en-US"/>
        </w:rPr>
      </w:pPr>
      <w:r w:rsidRPr="00B51596">
        <w:rPr>
          <w:rFonts w:ascii="Arial" w:eastAsia="Arial" w:hAnsi="Arial" w:cs="Arial"/>
          <w:sz w:val="22"/>
          <w:szCs w:val="22"/>
          <w:lang w:val="en" w:eastAsia="es-CO"/>
        </w:rPr>
        <w:t>LI</w:t>
      </w:r>
      <w:r w:rsidRPr="00555447">
        <w:rPr>
          <w:rFonts w:ascii="Arial" w:hAnsi="Arial" w:cs="Arial"/>
          <w:color w:val="222222"/>
          <w:sz w:val="22"/>
          <w:szCs w:val="22"/>
          <w:shd w:val="clear" w:color="auto" w:fill="FFFFFF"/>
          <w:lang w:val="en-US"/>
        </w:rPr>
        <w:t>, Y.</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ZHANG, J.</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ZHANG, J.</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XU, W.</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MOU, Z</w:t>
      </w:r>
      <w:r w:rsidR="00545CDE" w:rsidRPr="00555447">
        <w:rPr>
          <w:rFonts w:ascii="Arial" w:hAnsi="Arial" w:cs="Arial"/>
          <w:color w:val="222222"/>
          <w:sz w:val="22"/>
          <w:szCs w:val="22"/>
          <w:shd w:val="clear" w:color="auto" w:fill="FFFFFF"/>
          <w:lang w:val="en-US"/>
        </w:rPr>
        <w:t>. Characteristics of inorganic phosphate-solubilizing bacteria from the sediments of a eutrophic lake.</w:t>
      </w:r>
      <w:r w:rsidR="00545CDE" w:rsidRPr="00555447">
        <w:rPr>
          <w:rStyle w:val="apple-converted-space"/>
          <w:rFonts w:ascii="Arial" w:hAnsi="Arial" w:cs="Arial"/>
          <w:color w:val="222222"/>
          <w:sz w:val="22"/>
          <w:szCs w:val="22"/>
          <w:shd w:val="clear" w:color="auto" w:fill="FFFFFF"/>
          <w:lang w:val="en-US"/>
        </w:rPr>
        <w:t> </w:t>
      </w:r>
      <w:r w:rsidR="00545CDE" w:rsidRPr="00FB4D75">
        <w:rPr>
          <w:rFonts w:ascii="Arial" w:hAnsi="Arial" w:cs="Arial"/>
          <w:color w:val="222222"/>
          <w:sz w:val="22"/>
          <w:szCs w:val="22"/>
          <w:lang w:val="en-US"/>
        </w:rPr>
        <w:t xml:space="preserve">International </w:t>
      </w:r>
      <w:r w:rsidRPr="00FB4D75">
        <w:rPr>
          <w:rFonts w:ascii="Arial" w:hAnsi="Arial" w:cs="Arial"/>
          <w:color w:val="222222"/>
          <w:sz w:val="22"/>
          <w:szCs w:val="22"/>
          <w:lang w:val="en-US"/>
        </w:rPr>
        <w:t>J</w:t>
      </w:r>
      <w:r w:rsidR="00545CDE" w:rsidRPr="00FB4D75">
        <w:rPr>
          <w:rFonts w:ascii="Arial" w:hAnsi="Arial" w:cs="Arial"/>
          <w:color w:val="222222"/>
          <w:sz w:val="22"/>
          <w:szCs w:val="22"/>
          <w:lang w:val="en-US"/>
        </w:rPr>
        <w:t xml:space="preserve">ournal of </w:t>
      </w:r>
      <w:r w:rsidRPr="00FB4D75">
        <w:rPr>
          <w:rFonts w:ascii="Arial" w:hAnsi="Arial" w:cs="Arial"/>
          <w:color w:val="222222"/>
          <w:sz w:val="22"/>
          <w:szCs w:val="22"/>
          <w:lang w:val="en-US"/>
        </w:rPr>
        <w:t>E</w:t>
      </w:r>
      <w:r w:rsidR="00545CDE" w:rsidRPr="00FB4D75">
        <w:rPr>
          <w:rFonts w:ascii="Arial" w:hAnsi="Arial" w:cs="Arial"/>
          <w:color w:val="222222"/>
          <w:sz w:val="22"/>
          <w:szCs w:val="22"/>
          <w:lang w:val="en-US"/>
        </w:rPr>
        <w:t xml:space="preserve">nvironmental </w:t>
      </w:r>
      <w:r>
        <w:rPr>
          <w:rFonts w:ascii="Arial" w:hAnsi="Arial" w:cs="Arial"/>
          <w:color w:val="222222"/>
          <w:sz w:val="22"/>
          <w:szCs w:val="22"/>
          <w:lang w:val="en-US"/>
        </w:rPr>
        <w:t>R</w:t>
      </w:r>
      <w:r w:rsidR="00545CDE" w:rsidRPr="00FB4D75">
        <w:rPr>
          <w:rFonts w:ascii="Arial" w:hAnsi="Arial" w:cs="Arial"/>
          <w:color w:val="222222"/>
          <w:sz w:val="22"/>
          <w:szCs w:val="22"/>
          <w:lang w:val="en-US"/>
        </w:rPr>
        <w:t xml:space="preserve">esearch </w:t>
      </w:r>
      <w:r>
        <w:rPr>
          <w:rFonts w:ascii="Arial" w:hAnsi="Arial" w:cs="Arial"/>
          <w:color w:val="222222"/>
          <w:sz w:val="22"/>
          <w:szCs w:val="22"/>
          <w:lang w:val="en-US"/>
        </w:rPr>
        <w:t>a</w:t>
      </w:r>
      <w:r w:rsidR="00545CDE" w:rsidRPr="00FB4D75">
        <w:rPr>
          <w:rFonts w:ascii="Arial" w:hAnsi="Arial" w:cs="Arial"/>
          <w:color w:val="222222"/>
          <w:sz w:val="22"/>
          <w:szCs w:val="22"/>
          <w:lang w:val="en-US"/>
        </w:rPr>
        <w:t xml:space="preserve">nd </w:t>
      </w:r>
      <w:r>
        <w:rPr>
          <w:rFonts w:ascii="Arial" w:hAnsi="Arial" w:cs="Arial"/>
          <w:color w:val="222222"/>
          <w:sz w:val="22"/>
          <w:szCs w:val="22"/>
          <w:lang w:val="en-US"/>
        </w:rPr>
        <w:t>P</w:t>
      </w:r>
      <w:r w:rsidR="00545CDE" w:rsidRPr="00FB4D75">
        <w:rPr>
          <w:rFonts w:ascii="Arial" w:hAnsi="Arial" w:cs="Arial"/>
          <w:color w:val="222222"/>
          <w:sz w:val="22"/>
          <w:szCs w:val="22"/>
          <w:lang w:val="en-US"/>
        </w:rPr>
        <w:t xml:space="preserve">ublic </w:t>
      </w:r>
      <w:r>
        <w:rPr>
          <w:rFonts w:ascii="Arial" w:hAnsi="Arial" w:cs="Arial"/>
          <w:color w:val="222222"/>
          <w:sz w:val="22"/>
          <w:szCs w:val="22"/>
          <w:lang w:val="en-US"/>
        </w:rPr>
        <w:t>H</w:t>
      </w:r>
      <w:r w:rsidR="00545CDE" w:rsidRPr="00FB4D75">
        <w:rPr>
          <w:rFonts w:ascii="Arial" w:hAnsi="Arial" w:cs="Arial"/>
          <w:color w:val="222222"/>
          <w:sz w:val="22"/>
          <w:szCs w:val="22"/>
          <w:lang w:val="en-US"/>
        </w:rPr>
        <w:t>ealth</w:t>
      </w:r>
      <w:r w:rsidR="00545CDE" w:rsidRPr="00FB4D75">
        <w:rPr>
          <w:rFonts w:ascii="Arial" w:hAnsi="Arial" w:cs="Arial"/>
          <w:color w:val="222222"/>
          <w:sz w:val="22"/>
          <w:szCs w:val="22"/>
          <w:shd w:val="clear" w:color="auto" w:fill="FFFFFF"/>
          <w:lang w:val="en-US"/>
        </w:rPr>
        <w:t>,</w:t>
      </w:r>
      <w:r w:rsidR="00545CDE" w:rsidRPr="00FB4D75">
        <w:rPr>
          <w:rStyle w:val="apple-converted-space"/>
          <w:rFonts w:ascii="Arial" w:hAnsi="Arial" w:cs="Arial"/>
          <w:color w:val="222222"/>
          <w:sz w:val="22"/>
          <w:szCs w:val="22"/>
          <w:shd w:val="clear" w:color="auto" w:fill="FFFFFF"/>
          <w:lang w:val="en-US"/>
        </w:rPr>
        <w:t> </w:t>
      </w:r>
      <w:r>
        <w:rPr>
          <w:rStyle w:val="apple-converted-space"/>
          <w:rFonts w:ascii="Arial" w:hAnsi="Arial" w:cs="Arial"/>
          <w:color w:val="222222"/>
          <w:sz w:val="22"/>
          <w:szCs w:val="22"/>
          <w:shd w:val="clear" w:color="auto" w:fill="FFFFFF"/>
          <w:lang w:val="en-US"/>
        </w:rPr>
        <w:t xml:space="preserve">v. </w:t>
      </w:r>
      <w:r w:rsidR="00545CDE" w:rsidRPr="00FB4D75">
        <w:rPr>
          <w:rFonts w:ascii="Arial" w:hAnsi="Arial" w:cs="Arial"/>
          <w:color w:val="222222"/>
          <w:sz w:val="22"/>
          <w:szCs w:val="22"/>
          <w:lang w:val="en-US"/>
        </w:rPr>
        <w:t>16</w:t>
      </w:r>
      <w:r>
        <w:rPr>
          <w:rFonts w:ascii="Arial" w:hAnsi="Arial" w:cs="Arial"/>
          <w:color w:val="222222"/>
          <w:sz w:val="22"/>
          <w:szCs w:val="22"/>
          <w:lang w:val="en-US"/>
        </w:rPr>
        <w:t xml:space="preserve">, n. </w:t>
      </w:r>
      <w:r w:rsidR="00545CDE" w:rsidRPr="00FB4D75">
        <w:rPr>
          <w:rFonts w:ascii="Arial" w:hAnsi="Arial" w:cs="Arial"/>
          <w:color w:val="222222"/>
          <w:sz w:val="22"/>
          <w:szCs w:val="22"/>
          <w:shd w:val="clear" w:color="auto" w:fill="FFFFFF"/>
          <w:lang w:val="en-US"/>
        </w:rPr>
        <w:t xml:space="preserve">12, </w:t>
      </w:r>
      <w:r>
        <w:rPr>
          <w:rFonts w:ascii="Arial" w:hAnsi="Arial" w:cs="Arial"/>
          <w:color w:val="222222"/>
          <w:sz w:val="22"/>
          <w:szCs w:val="22"/>
          <w:shd w:val="clear" w:color="auto" w:fill="FFFFFF"/>
          <w:lang w:val="en-US"/>
        </w:rPr>
        <w:t xml:space="preserve">2019, p. </w:t>
      </w:r>
      <w:r w:rsidR="00545CDE" w:rsidRPr="00FB4D75">
        <w:rPr>
          <w:rFonts w:ascii="Arial" w:hAnsi="Arial" w:cs="Arial"/>
          <w:color w:val="222222"/>
          <w:sz w:val="22"/>
          <w:szCs w:val="22"/>
          <w:shd w:val="clear" w:color="auto" w:fill="FFFFFF"/>
          <w:lang w:val="en-US"/>
        </w:rPr>
        <w:t>2141.</w:t>
      </w:r>
    </w:p>
    <w:p w14:paraId="677C0D45" w14:textId="7AE71721" w:rsidR="001D5857" w:rsidRPr="007A06C2" w:rsidRDefault="00693136" w:rsidP="007A06C2">
      <w:pPr>
        <w:ind w:left="720"/>
        <w:jc w:val="both"/>
        <w:rPr>
          <w:rStyle w:val="Hipervnculo"/>
          <w:rFonts w:ascii="Arial" w:hAnsi="Arial" w:cs="Arial"/>
          <w:noProof/>
          <w:sz w:val="22"/>
          <w:szCs w:val="22"/>
        </w:rPr>
      </w:pPr>
      <w:r w:rsidRPr="00693136">
        <w:rPr>
          <w:rStyle w:val="Hipervnculo"/>
          <w:rFonts w:ascii="Arial" w:hAnsi="Arial" w:cs="Arial"/>
          <w:noProof/>
          <w:sz w:val="22"/>
          <w:szCs w:val="22"/>
        </w:rPr>
        <w:t>https://doi.org/</w:t>
      </w:r>
      <w:r w:rsidR="00545CDE" w:rsidRPr="00545CDE">
        <w:rPr>
          <w:rStyle w:val="Hipervnculo"/>
          <w:rFonts w:ascii="Arial" w:hAnsi="Arial" w:cs="Arial"/>
          <w:noProof/>
          <w:sz w:val="22"/>
          <w:szCs w:val="22"/>
        </w:rPr>
        <w:t xml:space="preserve">10.3390/ijerph16122141 </w:t>
      </w:r>
    </w:p>
    <w:p w14:paraId="6E78C6E8" w14:textId="6F196448" w:rsidR="001D5857" w:rsidRPr="00690ADA" w:rsidRDefault="007A06C2" w:rsidP="00690ADA">
      <w:pPr>
        <w:ind w:left="720" w:hanging="720"/>
        <w:jc w:val="both"/>
        <w:rPr>
          <w:rStyle w:val="Hipervnculo"/>
          <w:rFonts w:ascii="Arial" w:hAnsi="Arial" w:cs="Arial"/>
          <w:color w:val="auto"/>
          <w:sz w:val="22"/>
          <w:szCs w:val="22"/>
          <w:u w:val="none"/>
          <w:lang w:val="en-US"/>
        </w:rPr>
      </w:pPr>
      <w:r w:rsidRPr="00690ADA">
        <w:rPr>
          <w:rFonts w:ascii="Arial" w:hAnsi="Arial" w:cs="Arial"/>
          <w:color w:val="222222"/>
          <w:sz w:val="22"/>
          <w:szCs w:val="22"/>
          <w:shd w:val="clear" w:color="auto" w:fill="FFFFFF"/>
          <w:lang w:val="en-US"/>
        </w:rPr>
        <w:t>MACIAS-BENITEZ, S.</w:t>
      </w:r>
      <w:r w:rsidR="00B6539F" w:rsidRPr="00690ADA">
        <w:rPr>
          <w:rFonts w:ascii="Arial" w:hAnsi="Arial" w:cs="Arial"/>
          <w:color w:val="222222"/>
          <w:sz w:val="22"/>
          <w:szCs w:val="22"/>
          <w:shd w:val="clear" w:color="auto" w:fill="FFFFFF"/>
          <w:lang w:val="en-US"/>
        </w:rPr>
        <w:t>;</w:t>
      </w:r>
      <w:r w:rsidRPr="00690ADA">
        <w:rPr>
          <w:rFonts w:ascii="Arial" w:hAnsi="Arial" w:cs="Arial"/>
          <w:color w:val="222222"/>
          <w:sz w:val="22"/>
          <w:szCs w:val="22"/>
          <w:shd w:val="clear" w:color="auto" w:fill="FFFFFF"/>
          <w:lang w:val="en-US"/>
        </w:rPr>
        <w:t xml:space="preserve"> GARCIA-MARTINEZ, A. M.</w:t>
      </w:r>
      <w:r w:rsidR="00AF1B18" w:rsidRPr="00690ADA">
        <w:rPr>
          <w:rFonts w:ascii="Arial" w:hAnsi="Arial" w:cs="Arial"/>
          <w:color w:val="222222"/>
          <w:sz w:val="22"/>
          <w:szCs w:val="22"/>
          <w:shd w:val="clear" w:color="auto" w:fill="FFFFFF"/>
          <w:lang w:val="en-US"/>
        </w:rPr>
        <w:t>;</w:t>
      </w:r>
      <w:r w:rsidRPr="00690ADA">
        <w:rPr>
          <w:rFonts w:ascii="Arial" w:hAnsi="Arial" w:cs="Arial"/>
          <w:color w:val="222222"/>
          <w:sz w:val="22"/>
          <w:szCs w:val="22"/>
          <w:shd w:val="clear" w:color="auto" w:fill="FFFFFF"/>
          <w:lang w:val="en-US"/>
        </w:rPr>
        <w:t xml:space="preserve"> CABALLERO JIMENEZ, P.</w:t>
      </w:r>
      <w:r w:rsidR="00AF1B18" w:rsidRPr="00690ADA">
        <w:rPr>
          <w:rFonts w:ascii="Arial" w:hAnsi="Arial" w:cs="Arial"/>
          <w:color w:val="222222"/>
          <w:sz w:val="22"/>
          <w:szCs w:val="22"/>
          <w:shd w:val="clear" w:color="auto" w:fill="FFFFFF"/>
          <w:lang w:val="en-US"/>
        </w:rPr>
        <w:t>;</w:t>
      </w:r>
      <w:r w:rsidRPr="00690ADA">
        <w:rPr>
          <w:rFonts w:ascii="Arial" w:hAnsi="Arial" w:cs="Arial"/>
          <w:color w:val="222222"/>
          <w:sz w:val="22"/>
          <w:szCs w:val="22"/>
          <w:shd w:val="clear" w:color="auto" w:fill="FFFFFF"/>
          <w:lang w:val="en-US"/>
        </w:rPr>
        <w:t xml:space="preserve"> GONZALEZ, J. M.</w:t>
      </w:r>
      <w:r w:rsidR="00AF1B18" w:rsidRPr="00690ADA">
        <w:rPr>
          <w:rFonts w:ascii="Arial" w:hAnsi="Arial" w:cs="Arial"/>
          <w:color w:val="222222"/>
          <w:sz w:val="22"/>
          <w:szCs w:val="22"/>
          <w:shd w:val="clear" w:color="auto" w:fill="FFFFFF"/>
          <w:lang w:val="en-US"/>
        </w:rPr>
        <w:t>;</w:t>
      </w:r>
      <w:r w:rsidRPr="00690ADA">
        <w:rPr>
          <w:rFonts w:ascii="Arial" w:hAnsi="Arial" w:cs="Arial"/>
          <w:color w:val="222222"/>
          <w:sz w:val="22"/>
          <w:szCs w:val="22"/>
          <w:shd w:val="clear" w:color="auto" w:fill="FFFFFF"/>
          <w:lang w:val="en-US"/>
        </w:rPr>
        <w:t xml:space="preserve"> TEJADA MORAL, M.</w:t>
      </w:r>
      <w:r w:rsidR="00AF1B18" w:rsidRPr="00690ADA">
        <w:rPr>
          <w:rFonts w:ascii="Arial" w:hAnsi="Arial" w:cs="Arial"/>
          <w:color w:val="222222"/>
          <w:sz w:val="22"/>
          <w:szCs w:val="22"/>
          <w:shd w:val="clear" w:color="auto" w:fill="FFFFFF"/>
          <w:lang w:val="en-US"/>
        </w:rPr>
        <w:t>;</w:t>
      </w:r>
      <w:r w:rsidRPr="00690ADA">
        <w:rPr>
          <w:rFonts w:ascii="Arial" w:hAnsi="Arial" w:cs="Arial"/>
          <w:color w:val="222222"/>
          <w:sz w:val="22"/>
          <w:szCs w:val="22"/>
          <w:shd w:val="clear" w:color="auto" w:fill="FFFFFF"/>
          <w:lang w:val="en-US"/>
        </w:rPr>
        <w:t xml:space="preserve"> PARRADO RUBIO, J</w:t>
      </w:r>
      <w:r w:rsidR="001D5857" w:rsidRPr="00690ADA">
        <w:rPr>
          <w:rFonts w:ascii="Arial" w:hAnsi="Arial" w:cs="Arial"/>
          <w:color w:val="222222"/>
          <w:sz w:val="22"/>
          <w:szCs w:val="22"/>
          <w:shd w:val="clear" w:color="auto" w:fill="FFFFFF"/>
          <w:lang w:val="en-US"/>
        </w:rPr>
        <w:t xml:space="preserve">. </w:t>
      </w:r>
      <w:proofErr w:type="spellStart"/>
      <w:r w:rsidR="001D5857" w:rsidRPr="00555447">
        <w:rPr>
          <w:rFonts w:ascii="Arial" w:hAnsi="Arial" w:cs="Arial"/>
          <w:color w:val="222222"/>
          <w:sz w:val="22"/>
          <w:szCs w:val="22"/>
          <w:shd w:val="clear" w:color="auto" w:fill="FFFFFF"/>
          <w:lang w:val="en-US"/>
        </w:rPr>
        <w:t>Rhizospheric</w:t>
      </w:r>
      <w:proofErr w:type="spellEnd"/>
      <w:r w:rsidR="001D5857" w:rsidRPr="00555447">
        <w:rPr>
          <w:rFonts w:ascii="Arial" w:hAnsi="Arial" w:cs="Arial"/>
          <w:color w:val="222222"/>
          <w:sz w:val="22"/>
          <w:szCs w:val="22"/>
          <w:shd w:val="clear" w:color="auto" w:fill="FFFFFF"/>
          <w:lang w:val="en-US"/>
        </w:rPr>
        <w:t xml:space="preserve"> organic acids as </w:t>
      </w:r>
      <w:proofErr w:type="spellStart"/>
      <w:r w:rsidR="001D5857" w:rsidRPr="00555447">
        <w:rPr>
          <w:rFonts w:ascii="Arial" w:hAnsi="Arial" w:cs="Arial"/>
          <w:color w:val="222222"/>
          <w:sz w:val="22"/>
          <w:szCs w:val="22"/>
          <w:shd w:val="clear" w:color="auto" w:fill="FFFFFF"/>
          <w:lang w:val="en-US"/>
        </w:rPr>
        <w:t>biostimulants</w:t>
      </w:r>
      <w:proofErr w:type="spellEnd"/>
      <w:r w:rsidR="001D5857" w:rsidRPr="00555447">
        <w:rPr>
          <w:rFonts w:ascii="Arial" w:hAnsi="Arial" w:cs="Arial"/>
          <w:color w:val="222222"/>
          <w:sz w:val="22"/>
          <w:szCs w:val="22"/>
          <w:shd w:val="clear" w:color="auto" w:fill="FFFFFF"/>
          <w:lang w:val="en-US"/>
        </w:rPr>
        <w:t>: monitoring feedbacks on soil microorganisms and biochemical properties.</w:t>
      </w:r>
      <w:r w:rsidR="001D5857" w:rsidRPr="00555447">
        <w:rPr>
          <w:rStyle w:val="apple-converted-space"/>
          <w:rFonts w:ascii="Arial" w:hAnsi="Arial" w:cs="Arial"/>
          <w:color w:val="222222"/>
          <w:sz w:val="22"/>
          <w:szCs w:val="22"/>
          <w:shd w:val="clear" w:color="auto" w:fill="FFFFFF"/>
          <w:lang w:val="en-US"/>
        </w:rPr>
        <w:t> </w:t>
      </w:r>
      <w:r w:rsidR="001D5857" w:rsidRPr="00AF1B18">
        <w:rPr>
          <w:rFonts w:ascii="Arial" w:hAnsi="Arial" w:cs="Arial"/>
          <w:color w:val="222222"/>
          <w:sz w:val="22"/>
          <w:szCs w:val="22"/>
          <w:lang w:val="en-US"/>
        </w:rPr>
        <w:t xml:space="preserve">Frontiers in </w:t>
      </w:r>
      <w:r w:rsidR="00AF1B18">
        <w:rPr>
          <w:rFonts w:ascii="Arial" w:hAnsi="Arial" w:cs="Arial"/>
          <w:color w:val="222222"/>
          <w:sz w:val="22"/>
          <w:szCs w:val="22"/>
          <w:lang w:val="en-US"/>
        </w:rPr>
        <w:t>P</w:t>
      </w:r>
      <w:r w:rsidR="001D5857" w:rsidRPr="00AF1B18">
        <w:rPr>
          <w:rFonts w:ascii="Arial" w:hAnsi="Arial" w:cs="Arial"/>
          <w:color w:val="222222"/>
          <w:sz w:val="22"/>
          <w:szCs w:val="22"/>
          <w:lang w:val="en-US"/>
        </w:rPr>
        <w:t xml:space="preserve">lant </w:t>
      </w:r>
      <w:r w:rsidR="00AF1B18">
        <w:rPr>
          <w:rFonts w:ascii="Arial" w:hAnsi="Arial" w:cs="Arial"/>
          <w:color w:val="222222"/>
          <w:sz w:val="22"/>
          <w:szCs w:val="22"/>
          <w:lang w:val="en-US"/>
        </w:rPr>
        <w:t>S</w:t>
      </w:r>
      <w:r w:rsidR="001D5857" w:rsidRPr="00AF1B18">
        <w:rPr>
          <w:rFonts w:ascii="Arial" w:hAnsi="Arial" w:cs="Arial"/>
          <w:color w:val="222222"/>
          <w:sz w:val="22"/>
          <w:szCs w:val="22"/>
          <w:lang w:val="en-US"/>
        </w:rPr>
        <w:t>cience</w:t>
      </w:r>
      <w:r w:rsidR="001D5857" w:rsidRPr="00AF1B18">
        <w:rPr>
          <w:rFonts w:ascii="Arial" w:hAnsi="Arial" w:cs="Arial"/>
          <w:color w:val="222222"/>
          <w:sz w:val="22"/>
          <w:szCs w:val="22"/>
          <w:shd w:val="clear" w:color="auto" w:fill="FFFFFF"/>
          <w:lang w:val="en-US"/>
        </w:rPr>
        <w:t>,</w:t>
      </w:r>
      <w:r w:rsidR="001D5857" w:rsidRPr="00AF1B18">
        <w:rPr>
          <w:rStyle w:val="apple-converted-space"/>
          <w:rFonts w:ascii="Arial" w:hAnsi="Arial" w:cs="Arial"/>
          <w:color w:val="222222"/>
          <w:sz w:val="22"/>
          <w:szCs w:val="22"/>
          <w:shd w:val="clear" w:color="auto" w:fill="FFFFFF"/>
          <w:lang w:val="en-US"/>
        </w:rPr>
        <w:t> </w:t>
      </w:r>
      <w:r w:rsidR="00AF1B18">
        <w:rPr>
          <w:rStyle w:val="apple-converted-space"/>
          <w:rFonts w:ascii="Arial" w:hAnsi="Arial" w:cs="Arial"/>
          <w:color w:val="222222"/>
          <w:sz w:val="22"/>
          <w:szCs w:val="22"/>
          <w:shd w:val="clear" w:color="auto" w:fill="FFFFFF"/>
          <w:lang w:val="en-US"/>
        </w:rPr>
        <w:t>v.</w:t>
      </w:r>
      <w:r w:rsidR="001D5857" w:rsidRPr="00AF1B18">
        <w:rPr>
          <w:rFonts w:ascii="Arial" w:hAnsi="Arial" w:cs="Arial"/>
          <w:color w:val="222222"/>
          <w:sz w:val="22"/>
          <w:szCs w:val="22"/>
          <w:lang w:val="en-US"/>
        </w:rPr>
        <w:t>11</w:t>
      </w:r>
      <w:r w:rsidR="001D5857" w:rsidRPr="00AF1B18">
        <w:rPr>
          <w:rFonts w:ascii="Arial" w:hAnsi="Arial" w:cs="Arial"/>
          <w:color w:val="222222"/>
          <w:sz w:val="22"/>
          <w:szCs w:val="22"/>
          <w:shd w:val="clear" w:color="auto" w:fill="FFFFFF"/>
          <w:lang w:val="en-US"/>
        </w:rPr>
        <w:t xml:space="preserve">, </w:t>
      </w:r>
      <w:r w:rsidR="00AF1B18">
        <w:rPr>
          <w:rFonts w:ascii="Arial" w:hAnsi="Arial" w:cs="Arial"/>
          <w:color w:val="222222"/>
          <w:sz w:val="22"/>
          <w:szCs w:val="22"/>
          <w:shd w:val="clear" w:color="auto" w:fill="FFFFFF"/>
          <w:lang w:val="en-US"/>
        </w:rPr>
        <w:t xml:space="preserve">2020, p. </w:t>
      </w:r>
      <w:r w:rsidR="001D5857" w:rsidRPr="00AF1B18">
        <w:rPr>
          <w:rFonts w:ascii="Arial" w:hAnsi="Arial" w:cs="Arial"/>
          <w:color w:val="222222"/>
          <w:sz w:val="22"/>
          <w:szCs w:val="22"/>
          <w:shd w:val="clear" w:color="auto" w:fill="FFFFFF"/>
          <w:lang w:val="en-US"/>
        </w:rPr>
        <w:t>633</w:t>
      </w:r>
      <w:r w:rsidR="001D5857" w:rsidRPr="00555447">
        <w:rPr>
          <w:rFonts w:ascii="Arial" w:hAnsi="Arial" w:cs="Arial"/>
          <w:color w:val="222222"/>
          <w:sz w:val="22"/>
          <w:szCs w:val="22"/>
          <w:shd w:val="clear" w:color="auto" w:fill="FFFFFF"/>
          <w:lang w:val="en-US"/>
        </w:rPr>
        <w:t>.</w:t>
      </w:r>
    </w:p>
    <w:p w14:paraId="731CCE26" w14:textId="74C45019" w:rsidR="00EF13A7" w:rsidRPr="00D43F6B" w:rsidRDefault="001D5857" w:rsidP="00D43F6B">
      <w:pPr>
        <w:ind w:left="720"/>
        <w:jc w:val="both"/>
        <w:rPr>
          <w:rFonts w:ascii="Arial" w:hAnsi="Arial" w:cs="Arial"/>
          <w:noProof/>
          <w:color w:val="0563C1" w:themeColor="hyperlink"/>
          <w:sz w:val="22"/>
          <w:szCs w:val="22"/>
          <w:u w:val="single"/>
        </w:rPr>
      </w:pPr>
      <w:r w:rsidRPr="001D5857">
        <w:rPr>
          <w:rStyle w:val="Hipervnculo"/>
          <w:rFonts w:ascii="Arial" w:hAnsi="Arial" w:cs="Arial"/>
          <w:noProof/>
          <w:sz w:val="22"/>
          <w:szCs w:val="22"/>
          <w:lang w:val="en-US"/>
        </w:rPr>
        <w:t> </w:t>
      </w:r>
      <w:hyperlink r:id="rId28" w:history="1">
        <w:r w:rsidRPr="001D5857">
          <w:rPr>
            <w:rStyle w:val="Hipervnculo"/>
            <w:rFonts w:ascii="Arial" w:hAnsi="Arial" w:cs="Arial"/>
            <w:noProof/>
            <w:sz w:val="22"/>
            <w:szCs w:val="22"/>
          </w:rPr>
          <w:t>https://doi.org/10.3389/fpls.2020.00633</w:t>
        </w:r>
      </w:hyperlink>
    </w:p>
    <w:p w14:paraId="0B5FAFDC" w14:textId="0610E8C1" w:rsidR="00EF13A7" w:rsidRPr="00555447" w:rsidRDefault="008D6FBD" w:rsidP="00471845">
      <w:pPr>
        <w:ind w:left="720" w:hanging="720"/>
        <w:jc w:val="both"/>
        <w:rPr>
          <w:rFonts w:ascii="Arial" w:hAnsi="Arial" w:cs="Arial"/>
          <w:sz w:val="22"/>
          <w:szCs w:val="22"/>
          <w:lang w:val="en-US"/>
        </w:rPr>
      </w:pPr>
      <w:r w:rsidRPr="00555447">
        <w:rPr>
          <w:rFonts w:ascii="Arial" w:hAnsi="Arial" w:cs="Arial"/>
          <w:color w:val="222222"/>
          <w:sz w:val="22"/>
          <w:szCs w:val="22"/>
          <w:shd w:val="clear" w:color="auto" w:fill="FFFFFF"/>
          <w:lang w:val="en-US"/>
        </w:rPr>
        <w:t>MITTER, E. K.</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TOSI, M.</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OBREGÓN, D.</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DUNFIELD, K. E.</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GERMIDA, J. J</w:t>
      </w:r>
      <w:r w:rsidR="00EF13A7" w:rsidRPr="00555447">
        <w:rPr>
          <w:rFonts w:ascii="Arial" w:hAnsi="Arial" w:cs="Arial"/>
          <w:color w:val="222222"/>
          <w:sz w:val="22"/>
          <w:szCs w:val="22"/>
          <w:shd w:val="clear" w:color="auto" w:fill="FFFFFF"/>
          <w:lang w:val="en-US"/>
        </w:rPr>
        <w:t>. Rethinking crop nutrition in times of modern microbiology: innovative biofertilizer technologies.</w:t>
      </w:r>
      <w:r w:rsidR="00EF13A7" w:rsidRPr="00555447">
        <w:rPr>
          <w:rStyle w:val="apple-converted-space"/>
          <w:rFonts w:ascii="Arial" w:hAnsi="Arial" w:cs="Arial"/>
          <w:color w:val="222222"/>
          <w:sz w:val="22"/>
          <w:szCs w:val="22"/>
          <w:shd w:val="clear" w:color="auto" w:fill="FFFFFF"/>
          <w:lang w:val="en-US"/>
        </w:rPr>
        <w:t> </w:t>
      </w:r>
      <w:r w:rsidR="00EF13A7" w:rsidRPr="008D6FBD">
        <w:rPr>
          <w:rFonts w:ascii="Arial" w:hAnsi="Arial" w:cs="Arial"/>
          <w:color w:val="222222"/>
          <w:sz w:val="22"/>
          <w:szCs w:val="22"/>
          <w:lang w:val="en-US"/>
        </w:rPr>
        <w:t>Frontiers in Sustainable Food Systems</w:t>
      </w:r>
      <w:r w:rsidR="00EF13A7" w:rsidRPr="008D6FBD">
        <w:rPr>
          <w:rFonts w:ascii="Arial" w:hAnsi="Arial" w:cs="Arial"/>
          <w:color w:val="222222"/>
          <w:sz w:val="22"/>
          <w:szCs w:val="22"/>
          <w:shd w:val="clear" w:color="auto" w:fill="FFFFFF"/>
          <w:lang w:val="en-US"/>
        </w:rPr>
        <w:t>,</w:t>
      </w:r>
      <w:r w:rsidR="00EF13A7" w:rsidRPr="008D6FBD">
        <w:rPr>
          <w:rStyle w:val="apple-converted-space"/>
          <w:rFonts w:ascii="Arial" w:hAnsi="Arial" w:cs="Arial"/>
          <w:color w:val="222222"/>
          <w:sz w:val="22"/>
          <w:szCs w:val="22"/>
          <w:shd w:val="clear" w:color="auto" w:fill="FFFFFF"/>
          <w:lang w:val="en-US"/>
        </w:rPr>
        <w:t> </w:t>
      </w:r>
      <w:r w:rsidRPr="008D6FBD">
        <w:rPr>
          <w:rStyle w:val="apple-converted-space"/>
          <w:rFonts w:ascii="Arial" w:hAnsi="Arial" w:cs="Arial"/>
          <w:color w:val="222222"/>
          <w:sz w:val="22"/>
          <w:szCs w:val="22"/>
          <w:shd w:val="clear" w:color="auto" w:fill="FFFFFF"/>
          <w:lang w:val="en-US"/>
        </w:rPr>
        <w:t xml:space="preserve">v. </w:t>
      </w:r>
      <w:r w:rsidR="00EF13A7" w:rsidRPr="008D6FBD">
        <w:rPr>
          <w:rFonts w:ascii="Arial" w:hAnsi="Arial" w:cs="Arial"/>
          <w:color w:val="222222"/>
          <w:sz w:val="22"/>
          <w:szCs w:val="22"/>
          <w:lang w:val="en-US"/>
        </w:rPr>
        <w:t>5</w:t>
      </w:r>
      <w:r w:rsidR="00EF13A7" w:rsidRPr="008D6FBD">
        <w:rPr>
          <w:rFonts w:ascii="Arial" w:hAnsi="Arial" w:cs="Arial"/>
          <w:color w:val="222222"/>
          <w:sz w:val="22"/>
          <w:szCs w:val="22"/>
          <w:shd w:val="clear" w:color="auto" w:fill="FFFFFF"/>
          <w:lang w:val="en-US"/>
        </w:rPr>
        <w:t xml:space="preserve">, </w:t>
      </w:r>
      <w:r w:rsidRPr="008D6FBD">
        <w:rPr>
          <w:rFonts w:ascii="Arial" w:hAnsi="Arial" w:cs="Arial"/>
          <w:color w:val="222222"/>
          <w:sz w:val="22"/>
          <w:szCs w:val="22"/>
          <w:shd w:val="clear" w:color="auto" w:fill="FFFFFF"/>
          <w:lang w:val="en-US"/>
        </w:rPr>
        <w:t xml:space="preserve">2021, p. </w:t>
      </w:r>
      <w:r w:rsidR="00EF13A7" w:rsidRPr="008D6FBD">
        <w:rPr>
          <w:rFonts w:ascii="Arial" w:hAnsi="Arial" w:cs="Arial"/>
          <w:color w:val="222222"/>
          <w:sz w:val="22"/>
          <w:szCs w:val="22"/>
          <w:shd w:val="clear" w:color="auto" w:fill="FFFFFF"/>
          <w:lang w:val="en-US"/>
        </w:rPr>
        <w:t>29.</w:t>
      </w:r>
    </w:p>
    <w:p w14:paraId="05E47E3B" w14:textId="00E9D4BC" w:rsidR="00EF13A7" w:rsidRPr="00A929C0" w:rsidRDefault="00EF13A7" w:rsidP="00A929C0">
      <w:pPr>
        <w:ind w:left="720"/>
        <w:jc w:val="both"/>
        <w:rPr>
          <w:rFonts w:ascii="Arial" w:hAnsi="Arial" w:cs="Arial"/>
          <w:noProof/>
          <w:color w:val="0563C1" w:themeColor="hyperlink"/>
          <w:sz w:val="22"/>
          <w:szCs w:val="22"/>
          <w:u w:val="single"/>
          <w:lang w:val="en-US"/>
        </w:rPr>
      </w:pPr>
      <w:r w:rsidRPr="00EF13A7">
        <w:rPr>
          <w:rStyle w:val="Hipervnculo"/>
          <w:rFonts w:ascii="Arial" w:hAnsi="Arial" w:cs="Arial"/>
          <w:noProof/>
          <w:sz w:val="22"/>
          <w:szCs w:val="22"/>
          <w:lang w:val="en-US"/>
        </w:rPr>
        <w:t> </w:t>
      </w:r>
      <w:hyperlink r:id="rId29" w:history="1">
        <w:r w:rsidRPr="00EF13A7">
          <w:rPr>
            <w:rStyle w:val="Hipervnculo"/>
            <w:rFonts w:ascii="Arial" w:hAnsi="Arial" w:cs="Arial"/>
            <w:noProof/>
            <w:sz w:val="22"/>
            <w:szCs w:val="22"/>
            <w:lang w:val="en-US"/>
          </w:rPr>
          <w:t>https://doi.org/10.3389/fsufs.2021.606815</w:t>
        </w:r>
      </w:hyperlink>
    </w:p>
    <w:p w14:paraId="5447CE0D" w14:textId="53E70EEE" w:rsidR="000E7723" w:rsidRPr="00555447" w:rsidRDefault="00254CBA" w:rsidP="00B51596">
      <w:pPr>
        <w:ind w:left="720" w:hanging="720"/>
        <w:jc w:val="both"/>
        <w:rPr>
          <w:rFonts w:ascii="Arial" w:hAnsi="Arial" w:cs="Arial"/>
          <w:noProof/>
          <w:sz w:val="22"/>
          <w:szCs w:val="22"/>
          <w:lang w:val="en-US"/>
        </w:rPr>
      </w:pPr>
      <w:r w:rsidRPr="00B51596">
        <w:rPr>
          <w:rFonts w:ascii="Arial" w:eastAsia="Arial" w:hAnsi="Arial" w:cs="Arial"/>
          <w:sz w:val="22"/>
          <w:szCs w:val="22"/>
          <w:lang w:val="en" w:eastAsia="es-CO"/>
        </w:rPr>
        <w:t>MURPHY</w:t>
      </w:r>
      <w:r w:rsidRPr="00555447">
        <w:rPr>
          <w:rFonts w:ascii="Arial" w:hAnsi="Arial" w:cs="Arial"/>
          <w:noProof/>
          <w:sz w:val="22"/>
          <w:szCs w:val="22"/>
          <w:lang w:val="en-US"/>
        </w:rPr>
        <w:t>, J.</w:t>
      </w:r>
      <w:r w:rsidR="00A929C0">
        <w:rPr>
          <w:rFonts w:ascii="Arial" w:hAnsi="Arial" w:cs="Arial"/>
          <w:noProof/>
          <w:sz w:val="22"/>
          <w:szCs w:val="22"/>
          <w:lang w:val="en-US"/>
        </w:rPr>
        <w:t>;</w:t>
      </w:r>
      <w:r w:rsidRPr="00555447">
        <w:rPr>
          <w:rFonts w:ascii="Arial" w:hAnsi="Arial" w:cs="Arial"/>
          <w:noProof/>
          <w:sz w:val="22"/>
          <w:szCs w:val="22"/>
          <w:lang w:val="en-US"/>
        </w:rPr>
        <w:t xml:space="preserve"> RILEY, J.P. </w:t>
      </w:r>
      <w:r w:rsidR="000E7723" w:rsidRPr="00555447">
        <w:rPr>
          <w:rFonts w:ascii="Arial" w:hAnsi="Arial" w:cs="Arial"/>
          <w:noProof/>
          <w:sz w:val="22"/>
          <w:szCs w:val="22"/>
          <w:lang w:val="en-US"/>
        </w:rPr>
        <w:t>A modified single solution method for the determination of phosphate in natural waters. Anal</w:t>
      </w:r>
      <w:r w:rsidR="00A929C0">
        <w:rPr>
          <w:rFonts w:ascii="Arial" w:hAnsi="Arial" w:cs="Arial"/>
          <w:noProof/>
          <w:sz w:val="22"/>
          <w:szCs w:val="22"/>
          <w:lang w:val="en-US"/>
        </w:rPr>
        <w:t>ytica</w:t>
      </w:r>
      <w:r w:rsidR="000E7723" w:rsidRPr="00555447">
        <w:rPr>
          <w:rFonts w:ascii="Arial" w:hAnsi="Arial" w:cs="Arial"/>
          <w:noProof/>
          <w:sz w:val="22"/>
          <w:szCs w:val="22"/>
          <w:lang w:val="en-US"/>
        </w:rPr>
        <w:t xml:space="preserve"> Chim</w:t>
      </w:r>
      <w:r w:rsidR="00A929C0">
        <w:rPr>
          <w:rFonts w:ascii="Arial" w:hAnsi="Arial" w:cs="Arial"/>
          <w:noProof/>
          <w:sz w:val="22"/>
          <w:szCs w:val="22"/>
          <w:lang w:val="en-US"/>
        </w:rPr>
        <w:t>ica</w:t>
      </w:r>
      <w:r w:rsidR="000E7723" w:rsidRPr="00555447">
        <w:rPr>
          <w:rFonts w:ascii="Arial" w:hAnsi="Arial" w:cs="Arial"/>
          <w:noProof/>
          <w:sz w:val="22"/>
          <w:szCs w:val="22"/>
          <w:lang w:val="en-US"/>
        </w:rPr>
        <w:t xml:space="preserve"> Acta</w:t>
      </w:r>
      <w:r w:rsidR="00A929C0">
        <w:rPr>
          <w:rFonts w:ascii="Arial" w:hAnsi="Arial" w:cs="Arial"/>
          <w:noProof/>
          <w:sz w:val="22"/>
          <w:szCs w:val="22"/>
          <w:lang w:val="en-US"/>
        </w:rPr>
        <w:t>, v.</w:t>
      </w:r>
      <w:r w:rsidR="000E7723" w:rsidRPr="00555447">
        <w:rPr>
          <w:rFonts w:ascii="Arial" w:hAnsi="Arial" w:cs="Arial"/>
          <w:noProof/>
          <w:sz w:val="22"/>
          <w:szCs w:val="22"/>
          <w:lang w:val="en-US"/>
        </w:rPr>
        <w:t xml:space="preserve"> 27</w:t>
      </w:r>
      <w:r w:rsidR="00686C05" w:rsidRPr="00555447">
        <w:rPr>
          <w:rFonts w:ascii="Arial" w:hAnsi="Arial" w:cs="Arial"/>
          <w:noProof/>
          <w:sz w:val="22"/>
          <w:szCs w:val="22"/>
          <w:lang w:val="en-US"/>
        </w:rPr>
        <w:t>, 1962,</w:t>
      </w:r>
      <w:r w:rsidR="000E7723" w:rsidRPr="00555447">
        <w:rPr>
          <w:rFonts w:ascii="Arial" w:hAnsi="Arial" w:cs="Arial"/>
          <w:noProof/>
          <w:sz w:val="22"/>
          <w:szCs w:val="22"/>
          <w:lang w:val="en-US"/>
        </w:rPr>
        <w:t xml:space="preserve"> </w:t>
      </w:r>
      <w:r w:rsidR="00A929C0">
        <w:rPr>
          <w:rFonts w:ascii="Arial" w:hAnsi="Arial" w:cs="Arial"/>
          <w:noProof/>
          <w:sz w:val="22"/>
          <w:szCs w:val="22"/>
          <w:lang w:val="en-US"/>
        </w:rPr>
        <w:t xml:space="preserve">p. </w:t>
      </w:r>
      <w:r w:rsidR="000E7723" w:rsidRPr="00555447">
        <w:rPr>
          <w:rFonts w:ascii="Arial" w:hAnsi="Arial" w:cs="Arial"/>
          <w:noProof/>
          <w:sz w:val="22"/>
          <w:szCs w:val="22"/>
          <w:lang w:val="en-US"/>
        </w:rPr>
        <w:t>31–36</w:t>
      </w:r>
      <w:r w:rsidR="00A929C0">
        <w:rPr>
          <w:rFonts w:ascii="Arial" w:hAnsi="Arial" w:cs="Arial"/>
          <w:noProof/>
          <w:sz w:val="22"/>
          <w:szCs w:val="22"/>
          <w:lang w:val="en-US"/>
        </w:rPr>
        <w:t>.</w:t>
      </w:r>
    </w:p>
    <w:p w14:paraId="45EBFCB2" w14:textId="59D616DF" w:rsidR="00BF3C6E" w:rsidRPr="00555447" w:rsidRDefault="00254CBA" w:rsidP="009D3389">
      <w:pPr>
        <w:widowControl w:val="0"/>
        <w:autoSpaceDE w:val="0"/>
        <w:autoSpaceDN w:val="0"/>
        <w:adjustRightInd w:val="0"/>
        <w:ind w:left="480" w:hanging="480"/>
        <w:jc w:val="both"/>
        <w:rPr>
          <w:rFonts w:ascii="Arial" w:hAnsi="Arial" w:cs="Arial"/>
          <w:noProof/>
          <w:sz w:val="22"/>
          <w:szCs w:val="22"/>
          <w:lang w:val="en-US"/>
        </w:rPr>
      </w:pPr>
      <w:r w:rsidRPr="00555447">
        <w:rPr>
          <w:rFonts w:ascii="Arial" w:hAnsi="Arial" w:cs="Arial"/>
          <w:noProof/>
          <w:sz w:val="22"/>
          <w:szCs w:val="22"/>
          <w:lang w:val="en-US"/>
        </w:rPr>
        <w:t xml:space="preserve">NAUTIYAL, C. </w:t>
      </w:r>
      <w:r w:rsidR="000E7723" w:rsidRPr="00555447">
        <w:rPr>
          <w:rFonts w:ascii="Arial" w:hAnsi="Arial" w:cs="Arial"/>
          <w:noProof/>
          <w:sz w:val="22"/>
          <w:szCs w:val="22"/>
          <w:lang w:val="en-US"/>
        </w:rPr>
        <w:t>An efficient microbiological growth medium for screening phosphate solubilizing microorganisms. FEMS Microbiol</w:t>
      </w:r>
      <w:r w:rsidR="009E27F4">
        <w:rPr>
          <w:rFonts w:ascii="Arial" w:hAnsi="Arial" w:cs="Arial"/>
          <w:noProof/>
          <w:sz w:val="22"/>
          <w:szCs w:val="22"/>
          <w:lang w:val="en-US"/>
        </w:rPr>
        <w:t>ogy</w:t>
      </w:r>
      <w:r w:rsidR="000E7723" w:rsidRPr="00555447">
        <w:rPr>
          <w:rFonts w:ascii="Arial" w:hAnsi="Arial" w:cs="Arial"/>
          <w:noProof/>
          <w:sz w:val="22"/>
          <w:szCs w:val="22"/>
          <w:lang w:val="en-US"/>
        </w:rPr>
        <w:t xml:space="preserve"> Lett</w:t>
      </w:r>
      <w:r w:rsidR="009E27F4">
        <w:rPr>
          <w:rFonts w:ascii="Arial" w:hAnsi="Arial" w:cs="Arial"/>
          <w:noProof/>
          <w:sz w:val="22"/>
          <w:szCs w:val="22"/>
          <w:lang w:val="en-US"/>
        </w:rPr>
        <w:t>er,</w:t>
      </w:r>
      <w:r w:rsidR="000E7723" w:rsidRPr="00555447">
        <w:rPr>
          <w:rFonts w:ascii="Arial" w:hAnsi="Arial" w:cs="Arial"/>
          <w:noProof/>
          <w:sz w:val="22"/>
          <w:szCs w:val="22"/>
          <w:lang w:val="en-US"/>
        </w:rPr>
        <w:t xml:space="preserve"> </w:t>
      </w:r>
      <w:r w:rsidR="009E27F4">
        <w:rPr>
          <w:rFonts w:ascii="Arial" w:hAnsi="Arial" w:cs="Arial"/>
          <w:noProof/>
          <w:sz w:val="22"/>
          <w:szCs w:val="22"/>
          <w:lang w:val="en-US"/>
        </w:rPr>
        <w:t xml:space="preserve">v. </w:t>
      </w:r>
      <w:r w:rsidR="000E7723" w:rsidRPr="00555447">
        <w:rPr>
          <w:rFonts w:ascii="Arial" w:hAnsi="Arial" w:cs="Arial"/>
          <w:noProof/>
          <w:sz w:val="22"/>
          <w:szCs w:val="22"/>
          <w:lang w:val="en-US"/>
        </w:rPr>
        <w:t>170</w:t>
      </w:r>
      <w:r w:rsidR="009E27F4">
        <w:rPr>
          <w:rFonts w:ascii="Arial" w:hAnsi="Arial" w:cs="Arial"/>
          <w:noProof/>
          <w:sz w:val="22"/>
          <w:szCs w:val="22"/>
          <w:lang w:val="en-US"/>
        </w:rPr>
        <w:t xml:space="preserve">, n. </w:t>
      </w:r>
      <w:r w:rsidR="000E7723" w:rsidRPr="00555447">
        <w:rPr>
          <w:rFonts w:ascii="Arial" w:hAnsi="Arial" w:cs="Arial"/>
          <w:noProof/>
          <w:sz w:val="22"/>
          <w:szCs w:val="22"/>
          <w:lang w:val="en-US"/>
        </w:rPr>
        <w:t>436</w:t>
      </w:r>
      <w:r w:rsidR="00686C05" w:rsidRPr="00555447">
        <w:rPr>
          <w:rFonts w:ascii="Arial" w:hAnsi="Arial" w:cs="Arial"/>
          <w:noProof/>
          <w:sz w:val="22"/>
          <w:szCs w:val="22"/>
          <w:lang w:val="en-US"/>
        </w:rPr>
        <w:t xml:space="preserve">, 1999, </w:t>
      </w:r>
      <w:r w:rsidR="009E27F4">
        <w:rPr>
          <w:rFonts w:ascii="Arial" w:hAnsi="Arial" w:cs="Arial"/>
          <w:noProof/>
          <w:sz w:val="22"/>
          <w:szCs w:val="22"/>
          <w:lang w:val="en-US"/>
        </w:rPr>
        <w:t xml:space="preserve">p. </w:t>
      </w:r>
      <w:r w:rsidR="000E7723" w:rsidRPr="00555447">
        <w:rPr>
          <w:rFonts w:ascii="Arial" w:hAnsi="Arial" w:cs="Arial"/>
          <w:noProof/>
          <w:sz w:val="22"/>
          <w:szCs w:val="22"/>
          <w:lang w:val="en-US"/>
        </w:rPr>
        <w:t>265–270</w:t>
      </w:r>
      <w:r w:rsidR="00686C05" w:rsidRPr="00555447">
        <w:rPr>
          <w:rFonts w:ascii="Arial" w:hAnsi="Arial" w:cs="Arial"/>
          <w:noProof/>
          <w:sz w:val="22"/>
          <w:szCs w:val="22"/>
          <w:lang w:val="en-US"/>
        </w:rPr>
        <w:t>.</w:t>
      </w:r>
    </w:p>
    <w:p w14:paraId="17D52937" w14:textId="114F93B1" w:rsidR="00C8068B" w:rsidRPr="00555447" w:rsidRDefault="009D3389" w:rsidP="007F7980">
      <w:pPr>
        <w:ind w:left="720" w:hanging="720"/>
        <w:jc w:val="both"/>
        <w:rPr>
          <w:rFonts w:ascii="Arial" w:hAnsi="Arial" w:cs="Arial"/>
          <w:sz w:val="22"/>
          <w:szCs w:val="22"/>
          <w:lang w:val="en-US"/>
        </w:rPr>
      </w:pPr>
      <w:r w:rsidRPr="007F7980">
        <w:rPr>
          <w:rFonts w:ascii="Arial" w:hAnsi="Arial" w:cs="Arial"/>
          <w:color w:val="222222"/>
          <w:sz w:val="22"/>
          <w:szCs w:val="22"/>
          <w:shd w:val="clear" w:color="auto" w:fill="FFFFFF"/>
          <w:lang w:val="en-US"/>
        </w:rPr>
        <w:t>PAREDES-VILLANUEVA, J. J.; DEL ROSARIO, J. L.; URCIA-PULIDO, M. M.; ZAVALETA-ARMAS, J. C</w:t>
      </w:r>
      <w:r w:rsidR="00C8068B" w:rsidRPr="007F7980">
        <w:rPr>
          <w:rFonts w:ascii="Arial" w:hAnsi="Arial" w:cs="Arial"/>
          <w:color w:val="222222"/>
          <w:sz w:val="22"/>
          <w:szCs w:val="22"/>
          <w:shd w:val="clear" w:color="auto" w:fill="FFFFFF"/>
          <w:lang w:val="en-US"/>
        </w:rPr>
        <w:t xml:space="preserve">. </w:t>
      </w:r>
      <w:r w:rsidR="00C8068B" w:rsidRPr="00555447">
        <w:rPr>
          <w:rFonts w:ascii="Arial" w:hAnsi="Arial" w:cs="Arial"/>
          <w:color w:val="222222"/>
          <w:sz w:val="22"/>
          <w:szCs w:val="22"/>
          <w:shd w:val="clear" w:color="auto" w:fill="FFFFFF"/>
          <w:lang w:val="en-US"/>
        </w:rPr>
        <w:t xml:space="preserve">Plant growth promoter collection of </w:t>
      </w:r>
      <w:r w:rsidR="00C8068B" w:rsidRPr="009D3389">
        <w:rPr>
          <w:rFonts w:ascii="Arial" w:hAnsi="Arial" w:cs="Arial"/>
          <w:i/>
          <w:iCs/>
          <w:color w:val="222222"/>
          <w:sz w:val="22"/>
          <w:szCs w:val="22"/>
          <w:shd w:val="clear" w:color="auto" w:fill="FFFFFF"/>
          <w:lang w:val="en-US"/>
        </w:rPr>
        <w:t>Gluconacetobacter diazotrophicus</w:t>
      </w:r>
      <w:r w:rsidR="00C8068B" w:rsidRPr="00555447">
        <w:rPr>
          <w:rFonts w:ascii="Arial" w:hAnsi="Arial" w:cs="Arial"/>
          <w:color w:val="222222"/>
          <w:sz w:val="22"/>
          <w:szCs w:val="22"/>
          <w:shd w:val="clear" w:color="auto" w:fill="FFFFFF"/>
          <w:lang w:val="en-US"/>
        </w:rPr>
        <w:t xml:space="preserve"> from the northern coast of Peru.</w:t>
      </w:r>
      <w:r w:rsidR="00C8068B" w:rsidRPr="00555447">
        <w:rPr>
          <w:rStyle w:val="apple-converted-space"/>
          <w:rFonts w:ascii="Arial" w:hAnsi="Arial" w:cs="Arial"/>
          <w:color w:val="222222"/>
          <w:sz w:val="22"/>
          <w:szCs w:val="22"/>
          <w:shd w:val="clear" w:color="auto" w:fill="FFFFFF"/>
          <w:lang w:val="en-US"/>
        </w:rPr>
        <w:t> </w:t>
      </w:r>
      <w:r w:rsidR="00C8068B" w:rsidRPr="007F7980">
        <w:rPr>
          <w:rFonts w:ascii="Arial" w:hAnsi="Arial" w:cs="Arial"/>
          <w:color w:val="222222"/>
          <w:sz w:val="22"/>
          <w:szCs w:val="22"/>
          <w:lang w:val="en-US"/>
        </w:rPr>
        <w:t xml:space="preserve">Scientia </w:t>
      </w:r>
      <w:proofErr w:type="spellStart"/>
      <w:r w:rsidR="00C8068B" w:rsidRPr="007F7980">
        <w:rPr>
          <w:rFonts w:ascii="Arial" w:hAnsi="Arial" w:cs="Arial"/>
          <w:color w:val="222222"/>
          <w:sz w:val="22"/>
          <w:szCs w:val="22"/>
          <w:lang w:val="en-US"/>
        </w:rPr>
        <w:t>Agropecuaria</w:t>
      </w:r>
      <w:proofErr w:type="spellEnd"/>
      <w:r w:rsidR="00C8068B" w:rsidRPr="007F7980">
        <w:rPr>
          <w:rFonts w:ascii="Arial" w:hAnsi="Arial" w:cs="Arial"/>
          <w:color w:val="222222"/>
          <w:sz w:val="22"/>
          <w:szCs w:val="22"/>
          <w:shd w:val="clear" w:color="auto" w:fill="FFFFFF"/>
          <w:lang w:val="en-US"/>
        </w:rPr>
        <w:t>,</w:t>
      </w:r>
      <w:r w:rsidR="00C8068B" w:rsidRPr="007F7980">
        <w:rPr>
          <w:rStyle w:val="apple-converted-space"/>
          <w:rFonts w:ascii="Arial" w:hAnsi="Arial" w:cs="Arial"/>
          <w:color w:val="222222"/>
          <w:sz w:val="22"/>
          <w:szCs w:val="22"/>
          <w:shd w:val="clear" w:color="auto" w:fill="FFFFFF"/>
          <w:lang w:val="en-US"/>
        </w:rPr>
        <w:t> </w:t>
      </w:r>
      <w:r w:rsidRPr="007F7980">
        <w:rPr>
          <w:rStyle w:val="apple-converted-space"/>
          <w:rFonts w:ascii="Arial" w:hAnsi="Arial" w:cs="Arial"/>
          <w:color w:val="222222"/>
          <w:sz w:val="22"/>
          <w:szCs w:val="22"/>
          <w:shd w:val="clear" w:color="auto" w:fill="FFFFFF"/>
          <w:lang w:val="en-US"/>
        </w:rPr>
        <w:t xml:space="preserve">v. </w:t>
      </w:r>
      <w:r w:rsidR="00C8068B" w:rsidRPr="007F7980">
        <w:rPr>
          <w:rFonts w:ascii="Arial" w:hAnsi="Arial" w:cs="Arial"/>
          <w:color w:val="222222"/>
          <w:sz w:val="22"/>
          <w:szCs w:val="22"/>
          <w:lang w:val="en-US"/>
        </w:rPr>
        <w:t>11</w:t>
      </w:r>
      <w:r w:rsidRPr="007F7980">
        <w:rPr>
          <w:rFonts w:ascii="Arial" w:hAnsi="Arial" w:cs="Arial"/>
          <w:color w:val="222222"/>
          <w:sz w:val="22"/>
          <w:szCs w:val="22"/>
          <w:lang w:val="en-US"/>
        </w:rPr>
        <w:t xml:space="preserve">, n. </w:t>
      </w:r>
      <w:r w:rsidR="00C8068B" w:rsidRPr="007F7980">
        <w:rPr>
          <w:rFonts w:ascii="Arial" w:hAnsi="Arial" w:cs="Arial"/>
          <w:color w:val="222222"/>
          <w:sz w:val="22"/>
          <w:szCs w:val="22"/>
          <w:shd w:val="clear" w:color="auto" w:fill="FFFFFF"/>
          <w:lang w:val="en-US"/>
        </w:rPr>
        <w:t xml:space="preserve">1, </w:t>
      </w:r>
      <w:r w:rsidRPr="007F7980">
        <w:rPr>
          <w:rFonts w:ascii="Arial" w:hAnsi="Arial" w:cs="Arial"/>
          <w:color w:val="222222"/>
          <w:sz w:val="22"/>
          <w:szCs w:val="22"/>
          <w:shd w:val="clear" w:color="auto" w:fill="FFFFFF"/>
          <w:lang w:val="en-US"/>
        </w:rPr>
        <w:t xml:space="preserve">2020, p. </w:t>
      </w:r>
      <w:r w:rsidR="00C8068B" w:rsidRPr="007F7980">
        <w:rPr>
          <w:rFonts w:ascii="Arial" w:hAnsi="Arial" w:cs="Arial"/>
          <w:color w:val="222222"/>
          <w:sz w:val="22"/>
          <w:szCs w:val="22"/>
          <w:shd w:val="clear" w:color="auto" w:fill="FFFFFF"/>
          <w:lang w:val="en-US"/>
        </w:rPr>
        <w:t>15-21.</w:t>
      </w:r>
    </w:p>
    <w:p w14:paraId="7908384B" w14:textId="381AC90F" w:rsidR="00BF3C6E" w:rsidRPr="002465F8" w:rsidRDefault="00C8068B" w:rsidP="002465F8">
      <w:pPr>
        <w:ind w:left="720"/>
        <w:jc w:val="both"/>
        <w:rPr>
          <w:rFonts w:ascii="Arial" w:hAnsi="Arial" w:cs="Arial"/>
          <w:noProof/>
          <w:color w:val="0563C1" w:themeColor="hyperlink"/>
          <w:sz w:val="22"/>
          <w:szCs w:val="22"/>
          <w:u w:val="single"/>
          <w:lang w:val="en-US"/>
        </w:rPr>
      </w:pPr>
      <w:r w:rsidRPr="00C8068B">
        <w:rPr>
          <w:rStyle w:val="Hipervnculo"/>
          <w:rFonts w:ascii="Arial" w:hAnsi="Arial" w:cs="Arial"/>
          <w:noProof/>
          <w:sz w:val="22"/>
          <w:szCs w:val="22"/>
          <w:lang w:val="en-US"/>
        </w:rPr>
        <w:t>http://dx.doi.org/10.17268/sci.agropecu.2020.01.02 </w:t>
      </w:r>
    </w:p>
    <w:p w14:paraId="27828DF0" w14:textId="7180F4D1" w:rsidR="00BF3C6E" w:rsidRPr="00555447" w:rsidRDefault="002465F8" w:rsidP="00C94D8C">
      <w:pPr>
        <w:ind w:left="720" w:hanging="720"/>
        <w:jc w:val="both"/>
        <w:rPr>
          <w:rFonts w:ascii="Arial" w:hAnsi="Arial" w:cs="Arial"/>
          <w:sz w:val="22"/>
          <w:szCs w:val="22"/>
          <w:lang w:val="en-US"/>
        </w:rPr>
      </w:pPr>
      <w:r w:rsidRPr="00B51596">
        <w:rPr>
          <w:rFonts w:ascii="Arial" w:eastAsia="Arial" w:hAnsi="Arial" w:cs="Arial"/>
          <w:sz w:val="22"/>
          <w:szCs w:val="22"/>
          <w:lang w:val="en" w:eastAsia="es-CO"/>
        </w:rPr>
        <w:t>PENN</w:t>
      </w:r>
      <w:r w:rsidRPr="00555447">
        <w:rPr>
          <w:rFonts w:ascii="Arial" w:hAnsi="Arial" w:cs="Arial"/>
          <w:color w:val="222222"/>
          <w:sz w:val="22"/>
          <w:szCs w:val="22"/>
          <w:shd w:val="clear" w:color="auto" w:fill="FFFFFF"/>
          <w:lang w:val="en-US"/>
        </w:rPr>
        <w:t>, C. J.</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CAMBERATO, J. J</w:t>
      </w:r>
      <w:r w:rsidR="00BF3C6E" w:rsidRPr="00555447">
        <w:rPr>
          <w:rFonts w:ascii="Arial" w:hAnsi="Arial" w:cs="Arial"/>
          <w:color w:val="222222"/>
          <w:sz w:val="22"/>
          <w:szCs w:val="22"/>
          <w:shd w:val="clear" w:color="auto" w:fill="FFFFFF"/>
          <w:lang w:val="en-US"/>
        </w:rPr>
        <w:t>. A critical review on soil chemical processes that control how soil pH affects phosphorus availability to plants.</w:t>
      </w:r>
      <w:r w:rsidR="00BF3C6E" w:rsidRPr="00555447">
        <w:rPr>
          <w:rStyle w:val="apple-converted-space"/>
          <w:rFonts w:ascii="Arial" w:hAnsi="Arial" w:cs="Arial"/>
          <w:color w:val="222222"/>
          <w:sz w:val="22"/>
          <w:szCs w:val="22"/>
          <w:shd w:val="clear" w:color="auto" w:fill="FFFFFF"/>
          <w:lang w:val="en-US"/>
        </w:rPr>
        <w:t> </w:t>
      </w:r>
      <w:r w:rsidR="00BF3C6E" w:rsidRPr="00C94D8C">
        <w:rPr>
          <w:rFonts w:ascii="Arial" w:hAnsi="Arial" w:cs="Arial"/>
          <w:color w:val="222222"/>
          <w:sz w:val="22"/>
          <w:szCs w:val="22"/>
          <w:lang w:val="en-US"/>
        </w:rPr>
        <w:t>Agriculture</w:t>
      </w:r>
      <w:r w:rsidR="00BF3C6E" w:rsidRPr="00C94D8C">
        <w:rPr>
          <w:rFonts w:ascii="Arial" w:hAnsi="Arial" w:cs="Arial"/>
          <w:color w:val="222222"/>
          <w:sz w:val="22"/>
          <w:szCs w:val="22"/>
          <w:shd w:val="clear" w:color="auto" w:fill="FFFFFF"/>
          <w:lang w:val="en-US"/>
        </w:rPr>
        <w:t>,</w:t>
      </w:r>
      <w:r w:rsidR="00BF3C6E" w:rsidRPr="00C94D8C">
        <w:rPr>
          <w:rStyle w:val="apple-converted-space"/>
          <w:rFonts w:ascii="Arial" w:hAnsi="Arial" w:cs="Arial"/>
          <w:color w:val="222222"/>
          <w:sz w:val="22"/>
          <w:szCs w:val="22"/>
          <w:shd w:val="clear" w:color="auto" w:fill="FFFFFF"/>
          <w:lang w:val="en-US"/>
        </w:rPr>
        <w:t> </w:t>
      </w:r>
      <w:r w:rsidRPr="00C94D8C">
        <w:rPr>
          <w:rStyle w:val="apple-converted-space"/>
          <w:rFonts w:ascii="Arial" w:hAnsi="Arial" w:cs="Arial"/>
          <w:color w:val="222222"/>
          <w:sz w:val="22"/>
          <w:szCs w:val="22"/>
          <w:shd w:val="clear" w:color="auto" w:fill="FFFFFF"/>
          <w:lang w:val="en-US"/>
        </w:rPr>
        <w:t xml:space="preserve">v. </w:t>
      </w:r>
      <w:r w:rsidR="00BF3C6E" w:rsidRPr="00C94D8C">
        <w:rPr>
          <w:rFonts w:ascii="Arial" w:hAnsi="Arial" w:cs="Arial"/>
          <w:color w:val="222222"/>
          <w:sz w:val="22"/>
          <w:szCs w:val="22"/>
          <w:lang w:val="en-US"/>
        </w:rPr>
        <w:t>9</w:t>
      </w:r>
      <w:r w:rsidRPr="00C94D8C">
        <w:rPr>
          <w:rFonts w:ascii="Arial" w:hAnsi="Arial" w:cs="Arial"/>
          <w:color w:val="222222"/>
          <w:sz w:val="22"/>
          <w:szCs w:val="22"/>
          <w:lang w:val="en-US"/>
        </w:rPr>
        <w:t xml:space="preserve">, n. </w:t>
      </w:r>
      <w:r w:rsidR="00BF3C6E" w:rsidRPr="00C94D8C">
        <w:rPr>
          <w:rFonts w:ascii="Arial" w:hAnsi="Arial" w:cs="Arial"/>
          <w:color w:val="222222"/>
          <w:sz w:val="22"/>
          <w:szCs w:val="22"/>
          <w:shd w:val="clear" w:color="auto" w:fill="FFFFFF"/>
          <w:lang w:val="en-US"/>
        </w:rPr>
        <w:t xml:space="preserve">6, </w:t>
      </w:r>
      <w:r w:rsidRPr="00C94D8C">
        <w:rPr>
          <w:rFonts w:ascii="Arial" w:hAnsi="Arial" w:cs="Arial"/>
          <w:color w:val="222222"/>
          <w:sz w:val="22"/>
          <w:szCs w:val="22"/>
          <w:shd w:val="clear" w:color="auto" w:fill="FFFFFF"/>
          <w:lang w:val="en-US"/>
        </w:rPr>
        <w:t xml:space="preserve">2019, p. </w:t>
      </w:r>
      <w:r w:rsidR="00BF3C6E" w:rsidRPr="00C94D8C">
        <w:rPr>
          <w:rFonts w:ascii="Arial" w:hAnsi="Arial" w:cs="Arial"/>
          <w:color w:val="222222"/>
          <w:sz w:val="22"/>
          <w:szCs w:val="22"/>
          <w:shd w:val="clear" w:color="auto" w:fill="FFFFFF"/>
          <w:lang w:val="en-US"/>
        </w:rPr>
        <w:t>120.</w:t>
      </w:r>
    </w:p>
    <w:p w14:paraId="4D87D9C2" w14:textId="4AA62483" w:rsidR="00BF3C6E" w:rsidRPr="003906BC" w:rsidRDefault="00BF3C6E" w:rsidP="003906BC">
      <w:pPr>
        <w:ind w:left="720"/>
        <w:jc w:val="both"/>
        <w:rPr>
          <w:rFonts w:ascii="Arial" w:hAnsi="Arial" w:cs="Arial"/>
          <w:noProof/>
          <w:color w:val="0563C1" w:themeColor="hyperlink"/>
          <w:sz w:val="22"/>
          <w:szCs w:val="22"/>
          <w:u w:val="single"/>
          <w:lang w:val="en-US"/>
        </w:rPr>
      </w:pPr>
      <w:r w:rsidRPr="00BF3C6E">
        <w:rPr>
          <w:rStyle w:val="Hipervnculo"/>
          <w:rFonts w:ascii="Arial" w:hAnsi="Arial" w:cs="Arial"/>
          <w:noProof/>
          <w:sz w:val="22"/>
          <w:szCs w:val="22"/>
          <w:lang w:val="en-US"/>
        </w:rPr>
        <w:t xml:space="preserve">doi:10.3390/agriculture9060120 </w:t>
      </w:r>
    </w:p>
    <w:p w14:paraId="2CA0A789" w14:textId="09953385" w:rsidR="00226AC3" w:rsidRPr="003906BC" w:rsidRDefault="003906BC" w:rsidP="00FF4F89">
      <w:pPr>
        <w:ind w:left="720" w:hanging="720"/>
        <w:jc w:val="both"/>
        <w:rPr>
          <w:rFonts w:ascii="Arial" w:hAnsi="Arial" w:cs="Arial"/>
          <w:sz w:val="22"/>
          <w:szCs w:val="22"/>
          <w:lang w:val="en-US"/>
        </w:rPr>
      </w:pPr>
      <w:r w:rsidRPr="00555447">
        <w:rPr>
          <w:rFonts w:ascii="Arial" w:hAnsi="Arial" w:cs="Arial"/>
          <w:color w:val="222222"/>
          <w:sz w:val="22"/>
          <w:szCs w:val="22"/>
          <w:shd w:val="clear" w:color="auto" w:fill="FFFFFF"/>
          <w:lang w:val="en-US"/>
        </w:rPr>
        <w:t>RAFI, M. M.</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KRISHNAVENI, M. S.</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CHARYULU, P. B. B. N</w:t>
      </w:r>
      <w:r w:rsidR="00226AC3" w:rsidRPr="00555447">
        <w:rPr>
          <w:rFonts w:ascii="Arial" w:hAnsi="Arial" w:cs="Arial"/>
          <w:color w:val="222222"/>
          <w:sz w:val="22"/>
          <w:szCs w:val="22"/>
          <w:shd w:val="clear" w:color="auto" w:fill="FFFFFF"/>
          <w:lang w:val="en-US"/>
        </w:rPr>
        <w:t>. Phosphate-solubilizing microorganisms and their emerging role in sustainable agriculture.</w:t>
      </w:r>
      <w:r w:rsidR="00226AC3" w:rsidRPr="00555447">
        <w:rPr>
          <w:rStyle w:val="apple-converted-space"/>
          <w:rFonts w:ascii="Arial" w:hAnsi="Arial" w:cs="Arial"/>
          <w:color w:val="222222"/>
          <w:sz w:val="22"/>
          <w:szCs w:val="22"/>
          <w:shd w:val="clear" w:color="auto" w:fill="FFFFFF"/>
          <w:lang w:val="en-US"/>
        </w:rPr>
        <w:t> </w:t>
      </w:r>
      <w:r w:rsidR="00226AC3" w:rsidRPr="003906BC">
        <w:rPr>
          <w:rFonts w:ascii="Arial" w:hAnsi="Arial" w:cs="Arial"/>
          <w:color w:val="222222"/>
          <w:sz w:val="22"/>
          <w:szCs w:val="22"/>
          <w:lang w:val="en-US"/>
        </w:rPr>
        <w:t>Recent Developments in Applied Microbiology and Biochemistry</w:t>
      </w:r>
      <w:r w:rsidR="00226AC3" w:rsidRPr="003906BC">
        <w:rPr>
          <w:rFonts w:ascii="Arial" w:hAnsi="Arial" w:cs="Arial"/>
          <w:color w:val="222222"/>
          <w:sz w:val="22"/>
          <w:szCs w:val="22"/>
          <w:shd w:val="clear" w:color="auto" w:fill="FFFFFF"/>
          <w:lang w:val="en-US"/>
        </w:rPr>
        <w:t xml:space="preserve">, </w:t>
      </w:r>
      <w:r w:rsidRPr="003906BC">
        <w:rPr>
          <w:rFonts w:ascii="Arial" w:hAnsi="Arial" w:cs="Arial"/>
          <w:color w:val="222222"/>
          <w:sz w:val="22"/>
          <w:szCs w:val="22"/>
          <w:shd w:val="clear" w:color="auto" w:fill="FFFFFF"/>
          <w:lang w:val="en-US"/>
        </w:rPr>
        <w:t>2009</w:t>
      </w:r>
      <w:r>
        <w:rPr>
          <w:rFonts w:ascii="Arial" w:hAnsi="Arial" w:cs="Arial"/>
          <w:color w:val="222222"/>
          <w:sz w:val="22"/>
          <w:szCs w:val="22"/>
          <w:shd w:val="clear" w:color="auto" w:fill="FFFFFF"/>
          <w:lang w:val="en-US"/>
        </w:rPr>
        <w:t xml:space="preserve">, p. </w:t>
      </w:r>
      <w:r w:rsidR="00226AC3" w:rsidRPr="003906BC">
        <w:rPr>
          <w:rFonts w:ascii="Arial" w:hAnsi="Arial" w:cs="Arial"/>
          <w:color w:val="222222"/>
          <w:sz w:val="22"/>
          <w:szCs w:val="22"/>
          <w:shd w:val="clear" w:color="auto" w:fill="FFFFFF"/>
          <w:lang w:val="en-US"/>
        </w:rPr>
        <w:t>223-233.</w:t>
      </w:r>
    </w:p>
    <w:p w14:paraId="1FA998D9" w14:textId="0C253F10" w:rsidR="00226AC3" w:rsidRPr="003906BC" w:rsidRDefault="00FF4F89" w:rsidP="00FF4F89">
      <w:pPr>
        <w:ind w:firstLine="720"/>
        <w:rPr>
          <w:rFonts w:ascii="Arial" w:hAnsi="Arial" w:cs="Arial"/>
          <w:sz w:val="22"/>
          <w:szCs w:val="22"/>
          <w:lang w:val="en-US"/>
        </w:rPr>
      </w:pPr>
      <w:hyperlink r:id="rId30" w:history="1">
        <w:r w:rsidRPr="00226AC3">
          <w:rPr>
            <w:rStyle w:val="Hipervnculo"/>
            <w:rFonts w:ascii="Arial" w:hAnsi="Arial" w:cs="Arial"/>
            <w:sz w:val="22"/>
            <w:szCs w:val="22"/>
            <w:lang w:val="en-US"/>
          </w:rPr>
          <w:t>https://doi.org/10.1016/B978-0-12-816328-3.00017-9</w:t>
        </w:r>
      </w:hyperlink>
    </w:p>
    <w:p w14:paraId="4DA291B9" w14:textId="5DE60F65" w:rsidR="000E7723" w:rsidRPr="00555447" w:rsidRDefault="00254CBA" w:rsidP="00B51596">
      <w:pPr>
        <w:ind w:left="720" w:hanging="720"/>
        <w:jc w:val="both"/>
        <w:rPr>
          <w:rFonts w:ascii="Arial" w:hAnsi="Arial" w:cs="Arial"/>
          <w:noProof/>
          <w:sz w:val="22"/>
          <w:szCs w:val="22"/>
        </w:rPr>
      </w:pPr>
      <w:r w:rsidRPr="00FF4F89">
        <w:rPr>
          <w:rFonts w:ascii="Arial" w:eastAsia="Arial" w:hAnsi="Arial" w:cs="Arial"/>
          <w:sz w:val="22"/>
          <w:szCs w:val="22"/>
          <w:lang w:eastAsia="es-CO"/>
        </w:rPr>
        <w:t>RESTREPO</w:t>
      </w:r>
      <w:r w:rsidR="00BF10A0">
        <w:rPr>
          <w:rFonts w:ascii="Arial" w:eastAsia="Arial" w:hAnsi="Arial" w:cs="Arial"/>
          <w:sz w:val="22"/>
          <w:szCs w:val="22"/>
          <w:lang w:eastAsia="es-CO"/>
        </w:rPr>
        <w:t>-</w:t>
      </w:r>
      <w:r w:rsidRPr="00555447">
        <w:rPr>
          <w:rFonts w:ascii="Arial" w:hAnsi="Arial" w:cs="Arial"/>
          <w:noProof/>
          <w:sz w:val="22"/>
          <w:szCs w:val="22"/>
        </w:rPr>
        <w:t>FRANCO, G.M.</w:t>
      </w:r>
      <w:r w:rsidR="00E3016C">
        <w:rPr>
          <w:rFonts w:ascii="Arial" w:hAnsi="Arial" w:cs="Arial"/>
          <w:noProof/>
          <w:sz w:val="22"/>
          <w:szCs w:val="22"/>
        </w:rPr>
        <w:t>;</w:t>
      </w:r>
      <w:r w:rsidRPr="00555447">
        <w:rPr>
          <w:rFonts w:ascii="Arial" w:hAnsi="Arial" w:cs="Arial"/>
          <w:noProof/>
          <w:sz w:val="22"/>
          <w:szCs w:val="22"/>
        </w:rPr>
        <w:t xml:space="preserve"> MARULANDA</w:t>
      </w:r>
      <w:r w:rsidR="00BF10A0">
        <w:rPr>
          <w:rFonts w:ascii="Arial" w:hAnsi="Arial" w:cs="Arial"/>
          <w:noProof/>
          <w:sz w:val="22"/>
          <w:szCs w:val="22"/>
        </w:rPr>
        <w:t>-</w:t>
      </w:r>
      <w:r w:rsidRPr="00555447">
        <w:rPr>
          <w:rFonts w:ascii="Arial" w:hAnsi="Arial" w:cs="Arial"/>
          <w:noProof/>
          <w:sz w:val="22"/>
          <w:szCs w:val="22"/>
        </w:rPr>
        <w:t>MORENO, S.</w:t>
      </w:r>
      <w:r w:rsidR="00E3016C">
        <w:rPr>
          <w:rFonts w:ascii="Arial" w:hAnsi="Arial" w:cs="Arial"/>
          <w:noProof/>
          <w:sz w:val="22"/>
          <w:szCs w:val="22"/>
        </w:rPr>
        <w:t>;</w:t>
      </w:r>
      <w:r w:rsidRPr="00555447">
        <w:rPr>
          <w:rFonts w:ascii="Arial" w:hAnsi="Arial" w:cs="Arial"/>
          <w:noProof/>
          <w:sz w:val="22"/>
          <w:szCs w:val="22"/>
        </w:rPr>
        <w:t xml:space="preserve"> DE LA FE</w:t>
      </w:r>
      <w:r w:rsidR="00BF10A0">
        <w:rPr>
          <w:rFonts w:ascii="Arial" w:hAnsi="Arial" w:cs="Arial"/>
          <w:noProof/>
          <w:sz w:val="22"/>
          <w:szCs w:val="22"/>
        </w:rPr>
        <w:t>-</w:t>
      </w:r>
      <w:r w:rsidRPr="00555447">
        <w:rPr>
          <w:rFonts w:ascii="Arial" w:hAnsi="Arial" w:cs="Arial"/>
          <w:noProof/>
          <w:sz w:val="22"/>
          <w:szCs w:val="22"/>
        </w:rPr>
        <w:t>PÉREZ, Y.</w:t>
      </w:r>
      <w:r w:rsidR="00E3016C">
        <w:rPr>
          <w:rFonts w:ascii="Arial" w:hAnsi="Arial" w:cs="Arial"/>
          <w:noProof/>
          <w:sz w:val="22"/>
          <w:szCs w:val="22"/>
        </w:rPr>
        <w:t>;</w:t>
      </w:r>
      <w:r w:rsidRPr="00555447">
        <w:rPr>
          <w:rFonts w:ascii="Arial" w:hAnsi="Arial" w:cs="Arial"/>
          <w:noProof/>
          <w:sz w:val="22"/>
          <w:szCs w:val="22"/>
        </w:rPr>
        <w:t xml:space="preserve"> DÍAZ</w:t>
      </w:r>
      <w:r w:rsidR="00BF10A0">
        <w:rPr>
          <w:rFonts w:ascii="Arial" w:hAnsi="Arial" w:cs="Arial"/>
          <w:noProof/>
          <w:sz w:val="22"/>
          <w:szCs w:val="22"/>
        </w:rPr>
        <w:t>-</w:t>
      </w:r>
      <w:r w:rsidRPr="00555447">
        <w:rPr>
          <w:rFonts w:ascii="Arial" w:hAnsi="Arial" w:cs="Arial"/>
          <w:noProof/>
          <w:sz w:val="22"/>
          <w:szCs w:val="22"/>
        </w:rPr>
        <w:t>DE LA OSA, A.</w:t>
      </w:r>
      <w:r w:rsidR="00E3016C">
        <w:rPr>
          <w:rFonts w:ascii="Arial" w:hAnsi="Arial" w:cs="Arial"/>
          <w:noProof/>
          <w:sz w:val="22"/>
          <w:szCs w:val="22"/>
        </w:rPr>
        <w:t>;</w:t>
      </w:r>
      <w:r w:rsidRPr="00555447">
        <w:rPr>
          <w:rFonts w:ascii="Arial" w:hAnsi="Arial" w:cs="Arial"/>
          <w:noProof/>
          <w:sz w:val="22"/>
          <w:szCs w:val="22"/>
        </w:rPr>
        <w:t xml:space="preserve"> LUCIA</w:t>
      </w:r>
      <w:r w:rsidR="00BF10A0">
        <w:rPr>
          <w:rFonts w:ascii="Arial" w:hAnsi="Arial" w:cs="Arial"/>
          <w:noProof/>
          <w:sz w:val="22"/>
          <w:szCs w:val="22"/>
        </w:rPr>
        <w:t>-</w:t>
      </w:r>
      <w:r w:rsidRPr="00555447">
        <w:rPr>
          <w:rFonts w:ascii="Arial" w:hAnsi="Arial" w:cs="Arial"/>
          <w:noProof/>
          <w:sz w:val="22"/>
          <w:szCs w:val="22"/>
        </w:rPr>
        <w:t>BALDANI, V.</w:t>
      </w:r>
      <w:r w:rsidR="00E3016C">
        <w:rPr>
          <w:rFonts w:ascii="Arial" w:hAnsi="Arial" w:cs="Arial"/>
          <w:noProof/>
          <w:sz w:val="22"/>
          <w:szCs w:val="22"/>
        </w:rPr>
        <w:t>;</w:t>
      </w:r>
      <w:r w:rsidRPr="00555447">
        <w:rPr>
          <w:rFonts w:ascii="Arial" w:hAnsi="Arial" w:cs="Arial"/>
          <w:noProof/>
          <w:sz w:val="22"/>
          <w:szCs w:val="22"/>
        </w:rPr>
        <w:t xml:space="preserve"> HERNÁNDEZ</w:t>
      </w:r>
      <w:r w:rsidR="00BF10A0">
        <w:rPr>
          <w:rFonts w:ascii="Arial" w:hAnsi="Arial" w:cs="Arial"/>
          <w:noProof/>
          <w:sz w:val="22"/>
          <w:szCs w:val="22"/>
        </w:rPr>
        <w:t>-</w:t>
      </w:r>
      <w:r w:rsidRPr="00555447">
        <w:rPr>
          <w:rFonts w:ascii="Arial" w:hAnsi="Arial" w:cs="Arial"/>
          <w:noProof/>
          <w:sz w:val="22"/>
          <w:szCs w:val="22"/>
        </w:rPr>
        <w:t xml:space="preserve">RODRÍGUEZ, A. </w:t>
      </w:r>
      <w:r w:rsidR="000E7723" w:rsidRPr="00555447">
        <w:rPr>
          <w:rFonts w:ascii="Arial" w:hAnsi="Arial" w:cs="Arial"/>
          <w:noProof/>
          <w:sz w:val="22"/>
          <w:szCs w:val="22"/>
        </w:rPr>
        <w:t>Bacterias solubilizadoras de fosfato y sus potencialidades de uso en la promoción del crecimiento de cultivos de importancia económica. Revista CENIC Ciencias Biológicas</w:t>
      </w:r>
      <w:r w:rsidR="00E3016C">
        <w:rPr>
          <w:rFonts w:ascii="Arial" w:hAnsi="Arial" w:cs="Arial"/>
          <w:noProof/>
          <w:sz w:val="22"/>
          <w:szCs w:val="22"/>
        </w:rPr>
        <w:t>, v.</w:t>
      </w:r>
      <w:r w:rsidR="000E7723" w:rsidRPr="00555447">
        <w:rPr>
          <w:rFonts w:ascii="Arial" w:hAnsi="Arial" w:cs="Arial"/>
          <w:noProof/>
          <w:sz w:val="22"/>
          <w:szCs w:val="22"/>
        </w:rPr>
        <w:t xml:space="preserve"> 46</w:t>
      </w:r>
      <w:r w:rsidR="00E3016C">
        <w:rPr>
          <w:rFonts w:ascii="Arial" w:hAnsi="Arial" w:cs="Arial"/>
          <w:noProof/>
          <w:sz w:val="22"/>
          <w:szCs w:val="22"/>
        </w:rPr>
        <w:t xml:space="preserve">, n. </w:t>
      </w:r>
      <w:r w:rsidR="000E7723" w:rsidRPr="00555447">
        <w:rPr>
          <w:rFonts w:ascii="Arial" w:hAnsi="Arial" w:cs="Arial"/>
          <w:noProof/>
          <w:sz w:val="22"/>
          <w:szCs w:val="22"/>
        </w:rPr>
        <w:t>1</w:t>
      </w:r>
      <w:r w:rsidR="00062192" w:rsidRPr="00555447">
        <w:rPr>
          <w:rFonts w:ascii="Arial" w:hAnsi="Arial" w:cs="Arial"/>
          <w:noProof/>
          <w:sz w:val="22"/>
          <w:szCs w:val="22"/>
        </w:rPr>
        <w:t xml:space="preserve">, 2015, </w:t>
      </w:r>
      <w:r w:rsidR="00E3016C">
        <w:rPr>
          <w:rFonts w:ascii="Arial" w:hAnsi="Arial" w:cs="Arial"/>
          <w:noProof/>
          <w:sz w:val="22"/>
          <w:szCs w:val="22"/>
        </w:rPr>
        <w:t xml:space="preserve">p. </w:t>
      </w:r>
      <w:r w:rsidR="000E7723" w:rsidRPr="00555447">
        <w:rPr>
          <w:rFonts w:ascii="Arial" w:hAnsi="Arial" w:cs="Arial"/>
          <w:noProof/>
          <w:sz w:val="22"/>
          <w:szCs w:val="22"/>
        </w:rPr>
        <w:t>63–76</w:t>
      </w:r>
      <w:r w:rsidR="00062192" w:rsidRPr="00555447">
        <w:rPr>
          <w:rFonts w:ascii="Arial" w:hAnsi="Arial" w:cs="Arial"/>
          <w:noProof/>
          <w:sz w:val="22"/>
          <w:szCs w:val="22"/>
        </w:rPr>
        <w:t>.</w:t>
      </w:r>
    </w:p>
    <w:p w14:paraId="239C1E13" w14:textId="6680849A" w:rsidR="004942CE" w:rsidRPr="00F14C84" w:rsidRDefault="00254CBA" w:rsidP="00B51596">
      <w:pPr>
        <w:ind w:left="720" w:hanging="720"/>
        <w:jc w:val="both"/>
        <w:rPr>
          <w:rFonts w:ascii="Arial" w:hAnsi="Arial" w:cs="Arial"/>
          <w:noProof/>
          <w:sz w:val="22"/>
          <w:szCs w:val="22"/>
          <w:lang w:val="en-US"/>
        </w:rPr>
      </w:pPr>
      <w:r w:rsidRPr="00555447">
        <w:rPr>
          <w:rFonts w:ascii="Arial" w:hAnsi="Arial" w:cs="Arial"/>
          <w:noProof/>
          <w:sz w:val="22"/>
          <w:szCs w:val="22"/>
        </w:rPr>
        <w:t>RESTREPO, G.M.</w:t>
      </w:r>
      <w:r w:rsidR="00532EA1">
        <w:rPr>
          <w:rFonts w:ascii="Arial" w:hAnsi="Arial" w:cs="Arial"/>
          <w:noProof/>
          <w:sz w:val="22"/>
          <w:szCs w:val="22"/>
        </w:rPr>
        <w:t>;</w:t>
      </w:r>
      <w:r w:rsidRPr="00555447">
        <w:rPr>
          <w:rFonts w:ascii="Arial" w:hAnsi="Arial" w:cs="Arial"/>
          <w:noProof/>
          <w:sz w:val="22"/>
          <w:szCs w:val="22"/>
        </w:rPr>
        <w:t xml:space="preserve"> SÁNCHEZ, Ó.J.</w:t>
      </w:r>
      <w:r w:rsidR="00532EA1">
        <w:rPr>
          <w:rFonts w:ascii="Arial" w:hAnsi="Arial" w:cs="Arial"/>
          <w:noProof/>
          <w:sz w:val="22"/>
          <w:szCs w:val="22"/>
        </w:rPr>
        <w:t>;</w:t>
      </w:r>
      <w:r w:rsidRPr="00555447">
        <w:rPr>
          <w:rFonts w:ascii="Arial" w:hAnsi="Arial" w:cs="Arial"/>
          <w:noProof/>
          <w:sz w:val="22"/>
          <w:szCs w:val="22"/>
        </w:rPr>
        <w:t xml:space="preserve"> MARULANDA, S.M.</w:t>
      </w:r>
      <w:r w:rsidR="00532EA1">
        <w:rPr>
          <w:rFonts w:ascii="Arial" w:hAnsi="Arial" w:cs="Arial"/>
          <w:noProof/>
          <w:sz w:val="22"/>
          <w:szCs w:val="22"/>
        </w:rPr>
        <w:t>;</w:t>
      </w:r>
      <w:r w:rsidRPr="00555447">
        <w:rPr>
          <w:rFonts w:ascii="Arial" w:hAnsi="Arial" w:cs="Arial"/>
          <w:noProof/>
          <w:sz w:val="22"/>
          <w:szCs w:val="22"/>
        </w:rPr>
        <w:t xml:space="preserve"> GALEANO, N.F.</w:t>
      </w:r>
      <w:r w:rsidR="00532EA1">
        <w:rPr>
          <w:rFonts w:ascii="Arial" w:hAnsi="Arial" w:cs="Arial"/>
          <w:noProof/>
          <w:sz w:val="22"/>
          <w:szCs w:val="22"/>
        </w:rPr>
        <w:t>;</w:t>
      </w:r>
      <w:r w:rsidRPr="00555447">
        <w:rPr>
          <w:rFonts w:ascii="Arial" w:hAnsi="Arial" w:cs="Arial"/>
          <w:noProof/>
          <w:sz w:val="22"/>
          <w:szCs w:val="22"/>
        </w:rPr>
        <w:t xml:space="preserve"> TABORDA, G.  </w:t>
      </w:r>
      <w:r w:rsidR="000E7723" w:rsidRPr="00555447">
        <w:rPr>
          <w:rFonts w:ascii="Arial" w:hAnsi="Arial" w:cs="Arial"/>
          <w:noProof/>
          <w:sz w:val="22"/>
          <w:szCs w:val="22"/>
          <w:lang w:val="en-US"/>
        </w:rPr>
        <w:t xml:space="preserve">Evaluation of plant-growth promoting properties of </w:t>
      </w:r>
      <w:r w:rsidR="000E7723" w:rsidRPr="00532EA1">
        <w:rPr>
          <w:rFonts w:ascii="Arial" w:hAnsi="Arial" w:cs="Arial"/>
          <w:i/>
          <w:iCs/>
          <w:noProof/>
          <w:sz w:val="22"/>
          <w:szCs w:val="22"/>
          <w:lang w:val="en-US"/>
        </w:rPr>
        <w:t>Gluconacetobacter diazotrophicus</w:t>
      </w:r>
      <w:r w:rsidR="000E7723" w:rsidRPr="00555447">
        <w:rPr>
          <w:rFonts w:ascii="Arial" w:hAnsi="Arial" w:cs="Arial"/>
          <w:noProof/>
          <w:sz w:val="22"/>
          <w:szCs w:val="22"/>
          <w:lang w:val="en-US"/>
        </w:rPr>
        <w:t xml:space="preserve"> and </w:t>
      </w:r>
      <w:r w:rsidR="000E7723" w:rsidRPr="00532EA1">
        <w:rPr>
          <w:rFonts w:ascii="Arial" w:hAnsi="Arial" w:cs="Arial"/>
          <w:i/>
          <w:iCs/>
          <w:noProof/>
          <w:sz w:val="22"/>
          <w:szCs w:val="22"/>
          <w:lang w:val="en-US"/>
        </w:rPr>
        <w:t>Gluconacetobacter sacchari</w:t>
      </w:r>
      <w:r w:rsidR="000E7723" w:rsidRPr="00555447">
        <w:rPr>
          <w:rFonts w:ascii="Arial" w:hAnsi="Arial" w:cs="Arial"/>
          <w:noProof/>
          <w:sz w:val="22"/>
          <w:szCs w:val="22"/>
          <w:lang w:val="en-US"/>
        </w:rPr>
        <w:t xml:space="preserve"> isolated from sugarcane and tomato in West Central region of Colombia. </w:t>
      </w:r>
      <w:r w:rsidR="000E7723" w:rsidRPr="00F14C84">
        <w:rPr>
          <w:rFonts w:ascii="Arial" w:hAnsi="Arial" w:cs="Arial"/>
          <w:noProof/>
          <w:sz w:val="22"/>
          <w:szCs w:val="22"/>
          <w:lang w:val="en-US"/>
        </w:rPr>
        <w:t>Afr</w:t>
      </w:r>
      <w:r w:rsidR="00532EA1" w:rsidRPr="00F14C84">
        <w:rPr>
          <w:rFonts w:ascii="Arial" w:hAnsi="Arial" w:cs="Arial"/>
          <w:noProof/>
          <w:sz w:val="22"/>
          <w:szCs w:val="22"/>
          <w:lang w:val="en-US"/>
        </w:rPr>
        <w:t>ican</w:t>
      </w:r>
      <w:r w:rsidR="000E7723" w:rsidRPr="00F14C84">
        <w:rPr>
          <w:rFonts w:ascii="Arial" w:hAnsi="Arial" w:cs="Arial"/>
          <w:noProof/>
          <w:sz w:val="22"/>
          <w:szCs w:val="22"/>
          <w:lang w:val="en-US"/>
        </w:rPr>
        <w:t xml:space="preserve"> J</w:t>
      </w:r>
      <w:r w:rsidR="00532EA1" w:rsidRPr="00F14C84">
        <w:rPr>
          <w:rFonts w:ascii="Arial" w:hAnsi="Arial" w:cs="Arial"/>
          <w:noProof/>
          <w:sz w:val="22"/>
          <w:szCs w:val="22"/>
          <w:lang w:val="en-US"/>
        </w:rPr>
        <w:t>ournal of</w:t>
      </w:r>
      <w:r w:rsidR="000E7723" w:rsidRPr="00F14C84">
        <w:rPr>
          <w:rFonts w:ascii="Arial" w:hAnsi="Arial" w:cs="Arial"/>
          <w:noProof/>
          <w:sz w:val="22"/>
          <w:szCs w:val="22"/>
          <w:lang w:val="en-US"/>
        </w:rPr>
        <w:t xml:space="preserve"> Biotechnol</w:t>
      </w:r>
      <w:r w:rsidR="00532EA1" w:rsidRPr="00F14C84">
        <w:rPr>
          <w:rFonts w:ascii="Arial" w:hAnsi="Arial" w:cs="Arial"/>
          <w:noProof/>
          <w:sz w:val="22"/>
          <w:szCs w:val="22"/>
          <w:lang w:val="en-US"/>
        </w:rPr>
        <w:t>ogy,</w:t>
      </w:r>
      <w:r w:rsidR="000E7723" w:rsidRPr="00F14C84">
        <w:rPr>
          <w:rFonts w:ascii="Arial" w:hAnsi="Arial" w:cs="Arial"/>
          <w:noProof/>
          <w:sz w:val="22"/>
          <w:szCs w:val="22"/>
          <w:lang w:val="en-US"/>
        </w:rPr>
        <w:t> </w:t>
      </w:r>
      <w:r w:rsidR="00532EA1" w:rsidRPr="00F14C84">
        <w:rPr>
          <w:rFonts w:ascii="Arial" w:hAnsi="Arial" w:cs="Arial"/>
          <w:noProof/>
          <w:sz w:val="22"/>
          <w:szCs w:val="22"/>
          <w:lang w:val="en-US"/>
        </w:rPr>
        <w:t xml:space="preserve">v. </w:t>
      </w:r>
      <w:r w:rsidR="000E7723" w:rsidRPr="00F14C84">
        <w:rPr>
          <w:rFonts w:ascii="Arial" w:hAnsi="Arial" w:cs="Arial"/>
          <w:noProof/>
          <w:sz w:val="22"/>
          <w:szCs w:val="22"/>
          <w:lang w:val="en-US"/>
        </w:rPr>
        <w:t>16</w:t>
      </w:r>
      <w:r w:rsidR="00532EA1" w:rsidRPr="00F14C84">
        <w:rPr>
          <w:rFonts w:ascii="Arial" w:hAnsi="Arial" w:cs="Arial"/>
          <w:noProof/>
          <w:sz w:val="22"/>
          <w:szCs w:val="22"/>
          <w:lang w:val="en-US"/>
        </w:rPr>
        <w:t xml:space="preserve">, n. </w:t>
      </w:r>
      <w:r w:rsidR="000E7723" w:rsidRPr="00F14C84">
        <w:rPr>
          <w:rFonts w:ascii="Arial" w:hAnsi="Arial" w:cs="Arial"/>
          <w:noProof/>
          <w:sz w:val="22"/>
          <w:szCs w:val="22"/>
          <w:lang w:val="en-US"/>
        </w:rPr>
        <w:t>30</w:t>
      </w:r>
      <w:r w:rsidR="00062192" w:rsidRPr="00F14C84">
        <w:rPr>
          <w:rFonts w:ascii="Arial" w:hAnsi="Arial" w:cs="Arial"/>
          <w:noProof/>
          <w:sz w:val="22"/>
          <w:szCs w:val="22"/>
          <w:lang w:val="en-US"/>
        </w:rPr>
        <w:t xml:space="preserve">, 2017, </w:t>
      </w:r>
      <w:r w:rsidR="00532EA1" w:rsidRPr="00F14C84">
        <w:rPr>
          <w:rFonts w:ascii="Arial" w:hAnsi="Arial" w:cs="Arial"/>
          <w:noProof/>
          <w:sz w:val="22"/>
          <w:szCs w:val="22"/>
          <w:lang w:val="en-US"/>
        </w:rPr>
        <w:t xml:space="preserve">p. </w:t>
      </w:r>
      <w:r w:rsidR="000E7723" w:rsidRPr="00F14C84">
        <w:rPr>
          <w:rFonts w:ascii="Arial" w:hAnsi="Arial" w:cs="Arial"/>
          <w:noProof/>
          <w:sz w:val="22"/>
          <w:szCs w:val="22"/>
          <w:lang w:val="en-US"/>
        </w:rPr>
        <w:t xml:space="preserve">1619-1629. </w:t>
      </w:r>
    </w:p>
    <w:p w14:paraId="256F7DFE" w14:textId="57AFEA22" w:rsidR="00FB35B0" w:rsidRPr="00F14C84" w:rsidRDefault="00F14C84" w:rsidP="00F14C84">
      <w:pPr>
        <w:widowControl w:val="0"/>
        <w:autoSpaceDE w:val="0"/>
        <w:autoSpaceDN w:val="0"/>
        <w:adjustRightInd w:val="0"/>
        <w:ind w:left="480" w:firstLine="240"/>
        <w:jc w:val="both"/>
        <w:rPr>
          <w:rFonts w:ascii="Arial" w:hAnsi="Arial" w:cs="Arial"/>
          <w:noProof/>
          <w:sz w:val="22"/>
          <w:szCs w:val="22"/>
        </w:rPr>
      </w:pPr>
      <w:hyperlink r:id="rId31" w:history="1">
        <w:r w:rsidRPr="00F14C84">
          <w:rPr>
            <w:rStyle w:val="Hipervnculo"/>
            <w:rFonts w:ascii="Arial" w:hAnsi="Arial" w:cs="Arial"/>
            <w:noProof/>
            <w:sz w:val="22"/>
            <w:szCs w:val="22"/>
          </w:rPr>
          <w:t>http://doi.org/10.5897/AJB2017.16016</w:t>
        </w:r>
      </w:hyperlink>
    </w:p>
    <w:p w14:paraId="7FF0AA4B" w14:textId="13580B70" w:rsidR="00FB35B0" w:rsidRPr="00555447" w:rsidRDefault="00F14C84" w:rsidP="001F2AEC">
      <w:pPr>
        <w:ind w:left="720" w:hanging="720"/>
        <w:jc w:val="both"/>
        <w:rPr>
          <w:rFonts w:ascii="Arial" w:hAnsi="Arial" w:cs="Arial"/>
          <w:sz w:val="22"/>
          <w:szCs w:val="22"/>
          <w:lang w:val="en-US"/>
        </w:rPr>
      </w:pPr>
      <w:r w:rsidRPr="00555447">
        <w:rPr>
          <w:rFonts w:ascii="Arial" w:hAnsi="Arial" w:cs="Arial"/>
          <w:color w:val="222222"/>
          <w:sz w:val="22"/>
          <w:szCs w:val="22"/>
          <w:shd w:val="clear" w:color="auto" w:fill="FFFFFF"/>
        </w:rPr>
        <w:t>RODRIGUEZ, M. V.</w:t>
      </w:r>
      <w:r>
        <w:rPr>
          <w:rFonts w:ascii="Arial" w:hAnsi="Arial" w:cs="Arial"/>
          <w:color w:val="222222"/>
          <w:sz w:val="22"/>
          <w:szCs w:val="22"/>
          <w:shd w:val="clear" w:color="auto" w:fill="FFFFFF"/>
        </w:rPr>
        <w:t>;</w:t>
      </w:r>
      <w:r w:rsidRPr="00555447">
        <w:rPr>
          <w:rFonts w:ascii="Arial" w:hAnsi="Arial" w:cs="Arial"/>
          <w:color w:val="222222"/>
          <w:sz w:val="22"/>
          <w:szCs w:val="22"/>
          <w:shd w:val="clear" w:color="auto" w:fill="FFFFFF"/>
        </w:rPr>
        <w:t xml:space="preserve"> TANO, J.</w:t>
      </w:r>
      <w:r>
        <w:rPr>
          <w:rFonts w:ascii="Arial" w:hAnsi="Arial" w:cs="Arial"/>
          <w:color w:val="222222"/>
          <w:sz w:val="22"/>
          <w:szCs w:val="22"/>
          <w:shd w:val="clear" w:color="auto" w:fill="FFFFFF"/>
        </w:rPr>
        <w:t>;</w:t>
      </w:r>
      <w:r w:rsidRPr="00555447">
        <w:rPr>
          <w:rFonts w:ascii="Arial" w:hAnsi="Arial" w:cs="Arial"/>
          <w:color w:val="222222"/>
          <w:sz w:val="22"/>
          <w:szCs w:val="22"/>
          <w:shd w:val="clear" w:color="auto" w:fill="FFFFFF"/>
        </w:rPr>
        <w:t xml:space="preserve"> ANSALDI, N.</w:t>
      </w:r>
      <w:r>
        <w:rPr>
          <w:rFonts w:ascii="Arial" w:hAnsi="Arial" w:cs="Arial"/>
          <w:color w:val="222222"/>
          <w:sz w:val="22"/>
          <w:szCs w:val="22"/>
          <w:shd w:val="clear" w:color="auto" w:fill="FFFFFF"/>
        </w:rPr>
        <w:t>;</w:t>
      </w:r>
      <w:r w:rsidRPr="00555447">
        <w:rPr>
          <w:rFonts w:ascii="Arial" w:hAnsi="Arial" w:cs="Arial"/>
          <w:color w:val="222222"/>
          <w:sz w:val="22"/>
          <w:szCs w:val="22"/>
          <w:shd w:val="clear" w:color="auto" w:fill="FFFFFF"/>
        </w:rPr>
        <w:t xml:space="preserve"> CARRAU, A.</w:t>
      </w:r>
      <w:r>
        <w:rPr>
          <w:rFonts w:ascii="Arial" w:hAnsi="Arial" w:cs="Arial"/>
          <w:color w:val="222222"/>
          <w:sz w:val="22"/>
          <w:szCs w:val="22"/>
          <w:shd w:val="clear" w:color="auto" w:fill="FFFFFF"/>
        </w:rPr>
        <w:t>;</w:t>
      </w:r>
      <w:r w:rsidRPr="00555447">
        <w:rPr>
          <w:rFonts w:ascii="Arial" w:hAnsi="Arial" w:cs="Arial"/>
          <w:color w:val="222222"/>
          <w:sz w:val="22"/>
          <w:szCs w:val="22"/>
          <w:shd w:val="clear" w:color="auto" w:fill="FFFFFF"/>
        </w:rPr>
        <w:t xml:space="preserve"> SREBOT, M. S.</w:t>
      </w:r>
      <w:r>
        <w:rPr>
          <w:rFonts w:ascii="Arial" w:hAnsi="Arial" w:cs="Arial"/>
          <w:color w:val="222222"/>
          <w:sz w:val="22"/>
          <w:szCs w:val="22"/>
          <w:shd w:val="clear" w:color="auto" w:fill="FFFFFF"/>
        </w:rPr>
        <w:t>;</w:t>
      </w:r>
      <w:r w:rsidRPr="00555447">
        <w:rPr>
          <w:rFonts w:ascii="Arial" w:hAnsi="Arial" w:cs="Arial"/>
          <w:color w:val="222222"/>
          <w:sz w:val="22"/>
          <w:szCs w:val="22"/>
          <w:shd w:val="clear" w:color="auto" w:fill="FFFFFF"/>
        </w:rPr>
        <w:t xml:space="preserve"> FERREIRA, V.</w:t>
      </w:r>
      <w:r>
        <w:rPr>
          <w:rFonts w:ascii="Arial" w:hAnsi="Arial" w:cs="Arial"/>
          <w:color w:val="222222"/>
          <w:sz w:val="22"/>
          <w:szCs w:val="22"/>
          <w:shd w:val="clear" w:color="auto" w:fill="FFFFFF"/>
        </w:rPr>
        <w:t>;</w:t>
      </w:r>
      <w:r w:rsidRPr="00555447">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 xml:space="preserve"> </w:t>
      </w:r>
      <w:r w:rsidRPr="001F2AEC">
        <w:rPr>
          <w:rFonts w:ascii="Arial" w:hAnsi="Arial" w:cs="Arial"/>
          <w:color w:val="222222"/>
          <w:sz w:val="22"/>
          <w:szCs w:val="22"/>
          <w:shd w:val="clear" w:color="auto" w:fill="FFFFFF"/>
          <w:lang w:val="en-US"/>
        </w:rPr>
        <w:t>ORELLANO, E. G</w:t>
      </w:r>
      <w:r w:rsidR="00FB35B0" w:rsidRPr="001F2AEC">
        <w:rPr>
          <w:rFonts w:ascii="Arial" w:hAnsi="Arial" w:cs="Arial"/>
          <w:color w:val="222222"/>
          <w:sz w:val="22"/>
          <w:szCs w:val="22"/>
          <w:shd w:val="clear" w:color="auto" w:fill="FFFFFF"/>
          <w:lang w:val="en-US"/>
        </w:rPr>
        <w:t xml:space="preserve">. </w:t>
      </w:r>
      <w:r w:rsidR="00FB35B0" w:rsidRPr="00555447">
        <w:rPr>
          <w:rFonts w:ascii="Arial" w:hAnsi="Arial" w:cs="Arial"/>
          <w:color w:val="222222"/>
          <w:sz w:val="22"/>
          <w:szCs w:val="22"/>
          <w:shd w:val="clear" w:color="auto" w:fill="FFFFFF"/>
          <w:lang w:val="en-US"/>
        </w:rPr>
        <w:t xml:space="preserve">Anatomical and biochemical changes induced by </w:t>
      </w:r>
      <w:r w:rsidR="00FB35B0" w:rsidRPr="00F14C84">
        <w:rPr>
          <w:rFonts w:ascii="Arial" w:hAnsi="Arial" w:cs="Arial"/>
          <w:i/>
          <w:iCs/>
          <w:color w:val="222222"/>
          <w:sz w:val="22"/>
          <w:szCs w:val="22"/>
          <w:shd w:val="clear" w:color="auto" w:fill="FFFFFF"/>
          <w:lang w:val="en-US"/>
        </w:rPr>
        <w:t>Gluconacetobacter diazotrophicus</w:t>
      </w:r>
      <w:r w:rsidR="00FB35B0" w:rsidRPr="00555447">
        <w:rPr>
          <w:rFonts w:ascii="Arial" w:hAnsi="Arial" w:cs="Arial"/>
          <w:color w:val="222222"/>
          <w:sz w:val="22"/>
          <w:szCs w:val="22"/>
          <w:shd w:val="clear" w:color="auto" w:fill="FFFFFF"/>
          <w:lang w:val="en-US"/>
        </w:rPr>
        <w:t xml:space="preserve"> stand up for </w:t>
      </w:r>
      <w:r w:rsidR="00FB35B0" w:rsidRPr="00F14C84">
        <w:rPr>
          <w:rFonts w:ascii="Arial" w:hAnsi="Arial" w:cs="Arial"/>
          <w:i/>
          <w:iCs/>
          <w:color w:val="222222"/>
          <w:sz w:val="22"/>
          <w:szCs w:val="22"/>
          <w:shd w:val="clear" w:color="auto" w:fill="FFFFFF"/>
          <w:lang w:val="en-US"/>
        </w:rPr>
        <w:t>Arabidopsis thaliana</w:t>
      </w:r>
      <w:r w:rsidR="00FB35B0" w:rsidRPr="00555447">
        <w:rPr>
          <w:rFonts w:ascii="Arial" w:hAnsi="Arial" w:cs="Arial"/>
          <w:color w:val="222222"/>
          <w:sz w:val="22"/>
          <w:szCs w:val="22"/>
          <w:shd w:val="clear" w:color="auto" w:fill="FFFFFF"/>
          <w:lang w:val="en-US"/>
        </w:rPr>
        <w:t xml:space="preserve"> seedlings from </w:t>
      </w:r>
      <w:proofErr w:type="spellStart"/>
      <w:r w:rsidR="00FB35B0" w:rsidRPr="00F14C84">
        <w:rPr>
          <w:rFonts w:ascii="Arial" w:hAnsi="Arial" w:cs="Arial"/>
          <w:i/>
          <w:iCs/>
          <w:color w:val="222222"/>
          <w:sz w:val="22"/>
          <w:szCs w:val="22"/>
          <w:shd w:val="clear" w:color="auto" w:fill="FFFFFF"/>
          <w:lang w:val="en-US"/>
        </w:rPr>
        <w:t>Ralstonia</w:t>
      </w:r>
      <w:proofErr w:type="spellEnd"/>
      <w:r w:rsidR="00FB35B0" w:rsidRPr="00F14C84">
        <w:rPr>
          <w:rFonts w:ascii="Arial" w:hAnsi="Arial" w:cs="Arial"/>
          <w:i/>
          <w:iCs/>
          <w:color w:val="222222"/>
          <w:sz w:val="22"/>
          <w:szCs w:val="22"/>
          <w:shd w:val="clear" w:color="auto" w:fill="FFFFFF"/>
          <w:lang w:val="en-US"/>
        </w:rPr>
        <w:t xml:space="preserve"> solanacearum</w:t>
      </w:r>
      <w:r w:rsidR="00FB35B0" w:rsidRPr="00555447">
        <w:rPr>
          <w:rFonts w:ascii="Arial" w:hAnsi="Arial" w:cs="Arial"/>
          <w:color w:val="222222"/>
          <w:sz w:val="22"/>
          <w:szCs w:val="22"/>
          <w:shd w:val="clear" w:color="auto" w:fill="FFFFFF"/>
          <w:lang w:val="en-US"/>
        </w:rPr>
        <w:t xml:space="preserve"> infection.</w:t>
      </w:r>
      <w:r w:rsidR="00FB35B0" w:rsidRPr="00555447">
        <w:rPr>
          <w:rStyle w:val="apple-converted-space"/>
          <w:rFonts w:ascii="Arial" w:hAnsi="Arial" w:cs="Arial"/>
          <w:color w:val="222222"/>
          <w:sz w:val="22"/>
          <w:szCs w:val="22"/>
          <w:shd w:val="clear" w:color="auto" w:fill="FFFFFF"/>
          <w:lang w:val="en-US"/>
        </w:rPr>
        <w:t> </w:t>
      </w:r>
      <w:r w:rsidR="00FB35B0" w:rsidRPr="001F2AEC">
        <w:rPr>
          <w:rFonts w:ascii="Arial" w:hAnsi="Arial" w:cs="Arial"/>
          <w:color w:val="222222"/>
          <w:sz w:val="22"/>
          <w:szCs w:val="22"/>
          <w:lang w:val="en-US"/>
        </w:rPr>
        <w:t xml:space="preserve">Frontiers in </w:t>
      </w:r>
      <w:r w:rsidRPr="001F2AEC">
        <w:rPr>
          <w:rFonts w:ascii="Arial" w:hAnsi="Arial" w:cs="Arial"/>
          <w:color w:val="222222"/>
          <w:sz w:val="22"/>
          <w:szCs w:val="22"/>
          <w:lang w:val="en-US"/>
        </w:rPr>
        <w:t>P</w:t>
      </w:r>
      <w:r w:rsidR="00FB35B0" w:rsidRPr="001F2AEC">
        <w:rPr>
          <w:rFonts w:ascii="Arial" w:hAnsi="Arial" w:cs="Arial"/>
          <w:color w:val="222222"/>
          <w:sz w:val="22"/>
          <w:szCs w:val="22"/>
          <w:lang w:val="en-US"/>
        </w:rPr>
        <w:t xml:space="preserve">lant </w:t>
      </w:r>
      <w:r w:rsidRPr="001F2AEC">
        <w:rPr>
          <w:rFonts w:ascii="Arial" w:hAnsi="Arial" w:cs="Arial"/>
          <w:color w:val="222222"/>
          <w:sz w:val="22"/>
          <w:szCs w:val="22"/>
          <w:lang w:val="en-US"/>
        </w:rPr>
        <w:t>S</w:t>
      </w:r>
      <w:r w:rsidR="00FB35B0" w:rsidRPr="001F2AEC">
        <w:rPr>
          <w:rFonts w:ascii="Arial" w:hAnsi="Arial" w:cs="Arial"/>
          <w:color w:val="222222"/>
          <w:sz w:val="22"/>
          <w:szCs w:val="22"/>
          <w:lang w:val="en-US"/>
        </w:rPr>
        <w:t>cience</w:t>
      </w:r>
      <w:r w:rsidR="00FB35B0" w:rsidRPr="001F2AEC">
        <w:rPr>
          <w:rFonts w:ascii="Arial" w:hAnsi="Arial" w:cs="Arial"/>
          <w:color w:val="222222"/>
          <w:sz w:val="22"/>
          <w:szCs w:val="22"/>
          <w:shd w:val="clear" w:color="auto" w:fill="FFFFFF"/>
          <w:lang w:val="en-US"/>
        </w:rPr>
        <w:t>,</w:t>
      </w:r>
      <w:r w:rsidR="00FB35B0" w:rsidRPr="001F2AEC">
        <w:rPr>
          <w:rStyle w:val="apple-converted-space"/>
          <w:rFonts w:ascii="Arial" w:hAnsi="Arial" w:cs="Arial"/>
          <w:color w:val="222222"/>
          <w:sz w:val="22"/>
          <w:szCs w:val="22"/>
          <w:shd w:val="clear" w:color="auto" w:fill="FFFFFF"/>
          <w:lang w:val="en-US"/>
        </w:rPr>
        <w:t> </w:t>
      </w:r>
      <w:r w:rsidRPr="001F2AEC">
        <w:rPr>
          <w:rStyle w:val="apple-converted-space"/>
          <w:rFonts w:ascii="Arial" w:hAnsi="Arial" w:cs="Arial"/>
          <w:color w:val="222222"/>
          <w:sz w:val="22"/>
          <w:szCs w:val="22"/>
          <w:shd w:val="clear" w:color="auto" w:fill="FFFFFF"/>
          <w:lang w:val="en-US"/>
        </w:rPr>
        <w:t xml:space="preserve">v. </w:t>
      </w:r>
      <w:r w:rsidR="00FB35B0" w:rsidRPr="001F2AEC">
        <w:rPr>
          <w:rFonts w:ascii="Arial" w:hAnsi="Arial" w:cs="Arial"/>
          <w:color w:val="222222"/>
          <w:sz w:val="22"/>
          <w:szCs w:val="22"/>
          <w:lang w:val="en-US"/>
        </w:rPr>
        <w:t>10</w:t>
      </w:r>
      <w:r w:rsidR="00FB35B0" w:rsidRPr="001F2AEC">
        <w:rPr>
          <w:rFonts w:ascii="Arial" w:hAnsi="Arial" w:cs="Arial"/>
          <w:color w:val="222222"/>
          <w:sz w:val="22"/>
          <w:szCs w:val="22"/>
          <w:shd w:val="clear" w:color="auto" w:fill="FFFFFF"/>
          <w:lang w:val="en-US"/>
        </w:rPr>
        <w:t xml:space="preserve">, </w:t>
      </w:r>
      <w:r w:rsidRPr="001F2AEC">
        <w:rPr>
          <w:rFonts w:ascii="Arial" w:hAnsi="Arial" w:cs="Arial"/>
          <w:color w:val="222222"/>
          <w:sz w:val="22"/>
          <w:szCs w:val="22"/>
          <w:shd w:val="clear" w:color="auto" w:fill="FFFFFF"/>
          <w:lang w:val="en-US"/>
        </w:rPr>
        <w:t xml:space="preserve">2019, p. </w:t>
      </w:r>
      <w:r w:rsidR="00FB35B0" w:rsidRPr="001F2AEC">
        <w:rPr>
          <w:rFonts w:ascii="Arial" w:hAnsi="Arial" w:cs="Arial"/>
          <w:color w:val="222222"/>
          <w:sz w:val="22"/>
          <w:szCs w:val="22"/>
          <w:shd w:val="clear" w:color="auto" w:fill="FFFFFF"/>
          <w:lang w:val="en-US"/>
        </w:rPr>
        <w:t>1618.</w:t>
      </w:r>
    </w:p>
    <w:p w14:paraId="4EA71477" w14:textId="42DD2C29" w:rsidR="00FB35B0" w:rsidRPr="001F2AEC" w:rsidRDefault="001F2AEC" w:rsidP="001F2AEC">
      <w:pPr>
        <w:widowControl w:val="0"/>
        <w:autoSpaceDE w:val="0"/>
        <w:autoSpaceDN w:val="0"/>
        <w:adjustRightInd w:val="0"/>
        <w:ind w:left="480" w:firstLine="240"/>
        <w:jc w:val="both"/>
        <w:rPr>
          <w:rStyle w:val="Hipervnculo"/>
          <w:rFonts w:ascii="Arial" w:hAnsi="Arial" w:cs="Arial"/>
          <w:noProof/>
          <w:sz w:val="22"/>
          <w:szCs w:val="22"/>
        </w:rPr>
      </w:pPr>
      <w:r w:rsidRPr="001F2AEC">
        <w:rPr>
          <w:rStyle w:val="Hipervnculo"/>
          <w:rFonts w:ascii="Arial" w:hAnsi="Arial" w:cs="Arial"/>
          <w:noProof/>
          <w:sz w:val="22"/>
          <w:szCs w:val="22"/>
        </w:rPr>
        <w:t>https://doi.org/</w:t>
      </w:r>
      <w:hyperlink r:id="rId32" w:tgtFrame="_blank" w:history="1">
        <w:r w:rsidR="00FB35B0" w:rsidRPr="001F2AEC">
          <w:rPr>
            <w:rStyle w:val="Hipervnculo"/>
            <w:rFonts w:ascii="Arial" w:hAnsi="Arial" w:cs="Arial"/>
            <w:noProof/>
            <w:sz w:val="22"/>
            <w:szCs w:val="22"/>
          </w:rPr>
          <w:t>10.3389/fpls.2019.01618</w:t>
        </w:r>
      </w:hyperlink>
    </w:p>
    <w:p w14:paraId="5181B3E5" w14:textId="77777777" w:rsidR="00FB35B0" w:rsidRPr="00B2584C" w:rsidRDefault="00FB35B0" w:rsidP="00FB35B0">
      <w:pPr>
        <w:widowControl w:val="0"/>
        <w:autoSpaceDE w:val="0"/>
        <w:autoSpaceDN w:val="0"/>
        <w:adjustRightInd w:val="0"/>
        <w:ind w:left="480" w:hanging="480"/>
        <w:jc w:val="both"/>
        <w:rPr>
          <w:rFonts w:ascii="Arial" w:hAnsi="Arial" w:cs="Arial"/>
          <w:noProof/>
          <w:sz w:val="22"/>
          <w:szCs w:val="22"/>
        </w:rPr>
      </w:pPr>
    </w:p>
    <w:p w14:paraId="0274BBE9" w14:textId="53597EA9" w:rsidR="00FB35B0" w:rsidRPr="00B2584C" w:rsidRDefault="00FB35B0" w:rsidP="00FB35B0">
      <w:pPr>
        <w:widowControl w:val="0"/>
        <w:autoSpaceDE w:val="0"/>
        <w:autoSpaceDN w:val="0"/>
        <w:adjustRightInd w:val="0"/>
        <w:ind w:left="480" w:hanging="480"/>
        <w:jc w:val="both"/>
        <w:rPr>
          <w:rFonts w:ascii="Arial" w:hAnsi="Arial" w:cs="Arial"/>
          <w:noProof/>
          <w:sz w:val="22"/>
          <w:szCs w:val="22"/>
        </w:rPr>
      </w:pPr>
    </w:p>
    <w:p w14:paraId="2B5CE8E6" w14:textId="62CCA6ED" w:rsidR="00FB35B0" w:rsidRPr="00555447" w:rsidRDefault="00B2584C" w:rsidP="00FF730B">
      <w:pPr>
        <w:ind w:left="720" w:hanging="720"/>
        <w:jc w:val="both"/>
        <w:rPr>
          <w:rFonts w:ascii="Arial" w:hAnsi="Arial" w:cs="Arial"/>
          <w:sz w:val="22"/>
          <w:szCs w:val="22"/>
          <w:lang w:val="en-US"/>
        </w:rPr>
      </w:pPr>
      <w:r w:rsidRPr="00B2584C">
        <w:rPr>
          <w:rFonts w:ascii="Arial" w:eastAsia="Arial" w:hAnsi="Arial" w:cs="Arial"/>
          <w:sz w:val="22"/>
          <w:szCs w:val="22"/>
          <w:lang w:eastAsia="es-CO"/>
        </w:rPr>
        <w:lastRenderedPageBreak/>
        <w:t>ROMERO-PERDOMO, F.</w:t>
      </w:r>
      <w:r>
        <w:rPr>
          <w:rFonts w:ascii="Arial" w:eastAsia="Arial" w:hAnsi="Arial" w:cs="Arial"/>
          <w:sz w:val="22"/>
          <w:szCs w:val="22"/>
          <w:lang w:eastAsia="es-CO"/>
        </w:rPr>
        <w:t>;</w:t>
      </w:r>
      <w:r w:rsidRPr="00B2584C">
        <w:rPr>
          <w:rFonts w:ascii="Arial" w:eastAsia="Arial" w:hAnsi="Arial" w:cs="Arial"/>
          <w:sz w:val="22"/>
          <w:szCs w:val="22"/>
          <w:lang w:eastAsia="es-CO"/>
        </w:rPr>
        <w:t xml:space="preserve"> BELTRÁN, I.</w:t>
      </w:r>
      <w:r>
        <w:rPr>
          <w:rFonts w:ascii="Arial" w:eastAsia="Arial" w:hAnsi="Arial" w:cs="Arial"/>
          <w:sz w:val="22"/>
          <w:szCs w:val="22"/>
          <w:lang w:eastAsia="es-CO"/>
        </w:rPr>
        <w:t>;</w:t>
      </w:r>
      <w:r w:rsidRPr="00B2584C">
        <w:rPr>
          <w:rFonts w:ascii="Arial" w:eastAsia="Arial" w:hAnsi="Arial" w:cs="Arial"/>
          <w:sz w:val="22"/>
          <w:szCs w:val="22"/>
          <w:lang w:eastAsia="es-CO"/>
        </w:rPr>
        <w:t xml:space="preserve"> MENDOZA-LABRADOR, J.</w:t>
      </w:r>
      <w:r>
        <w:rPr>
          <w:rFonts w:ascii="Arial" w:eastAsia="Arial" w:hAnsi="Arial" w:cs="Arial"/>
          <w:sz w:val="22"/>
          <w:szCs w:val="22"/>
          <w:lang w:eastAsia="es-CO"/>
        </w:rPr>
        <w:t>;</w:t>
      </w:r>
      <w:r w:rsidRPr="00B2584C">
        <w:rPr>
          <w:rFonts w:ascii="Arial" w:eastAsia="Arial" w:hAnsi="Arial" w:cs="Arial"/>
          <w:sz w:val="22"/>
          <w:szCs w:val="22"/>
          <w:lang w:eastAsia="es-CO"/>
        </w:rPr>
        <w:t xml:space="preserve"> ESTRADA-BONILLA, G.</w:t>
      </w:r>
      <w:r>
        <w:rPr>
          <w:rFonts w:ascii="Arial" w:eastAsia="Arial" w:hAnsi="Arial" w:cs="Arial"/>
          <w:sz w:val="22"/>
          <w:szCs w:val="22"/>
          <w:lang w:eastAsia="es-CO"/>
        </w:rPr>
        <w:t>;</w:t>
      </w:r>
      <w:r w:rsidRPr="00B2584C">
        <w:rPr>
          <w:rFonts w:ascii="Arial" w:eastAsia="Arial" w:hAnsi="Arial" w:cs="Arial"/>
          <w:sz w:val="22"/>
          <w:szCs w:val="22"/>
          <w:lang w:eastAsia="es-CO"/>
        </w:rPr>
        <w:t xml:space="preserve"> BONILLA, R</w:t>
      </w:r>
      <w:r w:rsidR="006D154A" w:rsidRPr="00B2584C">
        <w:rPr>
          <w:rFonts w:ascii="Arial" w:eastAsia="Arial" w:hAnsi="Arial" w:cs="Arial"/>
          <w:sz w:val="22"/>
          <w:szCs w:val="22"/>
          <w:lang w:eastAsia="es-CO"/>
        </w:rPr>
        <w:t xml:space="preserve">. (2021). </w:t>
      </w:r>
      <w:r w:rsidR="006D154A" w:rsidRPr="00B2584C">
        <w:rPr>
          <w:rFonts w:ascii="Arial" w:eastAsia="Arial" w:hAnsi="Arial" w:cs="Arial"/>
          <w:sz w:val="22"/>
          <w:szCs w:val="22"/>
          <w:lang w:val="en" w:eastAsia="es-CO"/>
        </w:rPr>
        <w:t>Phosphorus</w:t>
      </w:r>
      <w:r w:rsidR="006D154A" w:rsidRPr="00555447">
        <w:rPr>
          <w:rFonts w:ascii="Arial" w:hAnsi="Arial" w:cs="Arial"/>
          <w:color w:val="222222"/>
          <w:sz w:val="22"/>
          <w:szCs w:val="22"/>
          <w:shd w:val="clear" w:color="auto" w:fill="FFFFFF"/>
          <w:lang w:val="en-US"/>
        </w:rPr>
        <w:t xml:space="preserve"> nutrition and growth of cotton plants inoculated with growth-promoting bacteria under low phosphate availability.</w:t>
      </w:r>
      <w:r w:rsidR="006D154A" w:rsidRPr="00555447">
        <w:rPr>
          <w:rStyle w:val="apple-converted-space"/>
          <w:rFonts w:ascii="Arial" w:hAnsi="Arial" w:cs="Arial"/>
          <w:color w:val="222222"/>
          <w:sz w:val="22"/>
          <w:szCs w:val="22"/>
          <w:shd w:val="clear" w:color="auto" w:fill="FFFFFF"/>
          <w:lang w:val="en-US"/>
        </w:rPr>
        <w:t> </w:t>
      </w:r>
      <w:r w:rsidR="006D154A" w:rsidRPr="00FF730B">
        <w:rPr>
          <w:rFonts w:ascii="Arial" w:hAnsi="Arial" w:cs="Arial"/>
          <w:color w:val="222222"/>
          <w:sz w:val="22"/>
          <w:szCs w:val="22"/>
          <w:lang w:val="en-US"/>
        </w:rPr>
        <w:t>Front</w:t>
      </w:r>
      <w:r w:rsidRPr="00FF730B">
        <w:rPr>
          <w:rFonts w:ascii="Arial" w:hAnsi="Arial" w:cs="Arial"/>
          <w:color w:val="222222"/>
          <w:sz w:val="22"/>
          <w:szCs w:val="22"/>
          <w:lang w:val="en-US"/>
        </w:rPr>
        <w:t>iers in</w:t>
      </w:r>
      <w:r w:rsidR="006D154A" w:rsidRPr="00FF730B">
        <w:rPr>
          <w:rFonts w:ascii="Arial" w:hAnsi="Arial" w:cs="Arial"/>
          <w:color w:val="222222"/>
          <w:sz w:val="22"/>
          <w:szCs w:val="22"/>
          <w:lang w:val="en-US"/>
        </w:rPr>
        <w:t xml:space="preserve"> Sustain</w:t>
      </w:r>
      <w:r w:rsidRPr="00FF730B">
        <w:rPr>
          <w:rFonts w:ascii="Arial" w:hAnsi="Arial" w:cs="Arial"/>
          <w:color w:val="222222"/>
          <w:sz w:val="22"/>
          <w:szCs w:val="22"/>
          <w:lang w:val="en-US"/>
        </w:rPr>
        <w:t>able</w:t>
      </w:r>
      <w:r w:rsidR="006D154A" w:rsidRPr="00FF730B">
        <w:rPr>
          <w:rFonts w:ascii="Arial" w:hAnsi="Arial" w:cs="Arial"/>
          <w:color w:val="222222"/>
          <w:sz w:val="22"/>
          <w:szCs w:val="22"/>
          <w:lang w:val="en-US"/>
        </w:rPr>
        <w:t xml:space="preserve"> Food Syst</w:t>
      </w:r>
      <w:r w:rsidRPr="00FF730B">
        <w:rPr>
          <w:rFonts w:ascii="Arial" w:hAnsi="Arial" w:cs="Arial"/>
          <w:color w:val="222222"/>
          <w:sz w:val="22"/>
          <w:szCs w:val="22"/>
          <w:lang w:val="en-US"/>
        </w:rPr>
        <w:t>ems</w:t>
      </w:r>
      <w:r w:rsidR="006D154A" w:rsidRPr="00FF730B">
        <w:rPr>
          <w:rFonts w:ascii="Arial" w:hAnsi="Arial" w:cs="Arial"/>
          <w:color w:val="222222"/>
          <w:sz w:val="22"/>
          <w:szCs w:val="22"/>
          <w:shd w:val="clear" w:color="auto" w:fill="FFFFFF"/>
          <w:lang w:val="en-US"/>
        </w:rPr>
        <w:t>,</w:t>
      </w:r>
      <w:r w:rsidR="006D154A" w:rsidRPr="00FF730B">
        <w:rPr>
          <w:rStyle w:val="apple-converted-space"/>
          <w:rFonts w:ascii="Arial" w:hAnsi="Arial" w:cs="Arial"/>
          <w:color w:val="222222"/>
          <w:sz w:val="22"/>
          <w:szCs w:val="22"/>
          <w:shd w:val="clear" w:color="auto" w:fill="FFFFFF"/>
          <w:lang w:val="en-US"/>
        </w:rPr>
        <w:t> </w:t>
      </w:r>
      <w:r w:rsidR="00FF730B" w:rsidRPr="00FF730B">
        <w:rPr>
          <w:rStyle w:val="apple-converted-space"/>
          <w:rFonts w:ascii="Arial" w:hAnsi="Arial" w:cs="Arial"/>
          <w:color w:val="222222"/>
          <w:sz w:val="22"/>
          <w:szCs w:val="22"/>
          <w:shd w:val="clear" w:color="auto" w:fill="FFFFFF"/>
          <w:lang w:val="en-US"/>
        </w:rPr>
        <w:t xml:space="preserve">2020, </w:t>
      </w:r>
      <w:r w:rsidR="00FF730B">
        <w:rPr>
          <w:rStyle w:val="apple-converted-space"/>
          <w:rFonts w:ascii="Arial" w:hAnsi="Arial" w:cs="Arial"/>
          <w:color w:val="222222"/>
          <w:sz w:val="22"/>
          <w:szCs w:val="22"/>
          <w:shd w:val="clear" w:color="auto" w:fill="FFFFFF"/>
          <w:lang w:val="en-US"/>
        </w:rPr>
        <w:t>v</w:t>
      </w:r>
      <w:r w:rsidR="00FF730B" w:rsidRPr="00FF730B">
        <w:rPr>
          <w:rStyle w:val="apple-converted-space"/>
          <w:rFonts w:ascii="Arial" w:hAnsi="Arial" w:cs="Arial"/>
          <w:color w:val="222222"/>
          <w:sz w:val="22"/>
          <w:szCs w:val="22"/>
          <w:shd w:val="clear" w:color="auto" w:fill="FFFFFF"/>
          <w:lang w:val="en-US"/>
        </w:rPr>
        <w:t xml:space="preserve">. </w:t>
      </w:r>
      <w:r w:rsidR="006D154A" w:rsidRPr="00FF730B">
        <w:rPr>
          <w:rFonts w:ascii="Arial" w:hAnsi="Arial" w:cs="Arial"/>
          <w:color w:val="222222"/>
          <w:sz w:val="22"/>
          <w:szCs w:val="22"/>
          <w:lang w:val="en-US"/>
        </w:rPr>
        <w:t>4</w:t>
      </w:r>
      <w:r w:rsidR="00FF730B">
        <w:rPr>
          <w:rFonts w:ascii="Arial" w:hAnsi="Arial" w:cs="Arial"/>
          <w:color w:val="222222"/>
          <w:sz w:val="22"/>
          <w:szCs w:val="22"/>
          <w:shd w:val="clear" w:color="auto" w:fill="FFFFFF"/>
          <w:lang w:val="en-US"/>
        </w:rPr>
        <w:t>, p. 1-11.</w:t>
      </w:r>
    </w:p>
    <w:p w14:paraId="38A4365F" w14:textId="602CCD34" w:rsidR="00FB35B0" w:rsidRPr="00FF730B" w:rsidRDefault="006D154A" w:rsidP="00FF730B">
      <w:pPr>
        <w:widowControl w:val="0"/>
        <w:autoSpaceDE w:val="0"/>
        <w:autoSpaceDN w:val="0"/>
        <w:adjustRightInd w:val="0"/>
        <w:ind w:left="480" w:firstLine="240"/>
        <w:jc w:val="both"/>
        <w:rPr>
          <w:rFonts w:ascii="Arial" w:hAnsi="Arial" w:cs="Arial"/>
          <w:noProof/>
          <w:color w:val="0563C1" w:themeColor="hyperlink"/>
          <w:sz w:val="22"/>
          <w:szCs w:val="22"/>
          <w:u w:val="single"/>
        </w:rPr>
      </w:pPr>
      <w:hyperlink r:id="rId33" w:history="1">
        <w:r w:rsidRPr="00FF730B">
          <w:rPr>
            <w:rStyle w:val="Hipervnculo"/>
            <w:rFonts w:ascii="Arial" w:hAnsi="Arial" w:cs="Arial"/>
            <w:noProof/>
            <w:sz w:val="22"/>
            <w:szCs w:val="22"/>
          </w:rPr>
          <w:t>https://doi.org/10.3389/fsufs.2020.618425</w:t>
        </w:r>
      </w:hyperlink>
    </w:p>
    <w:p w14:paraId="63D0AE1B" w14:textId="1D32E27C" w:rsidR="008220E2" w:rsidRPr="00555447" w:rsidRDefault="00254CBA" w:rsidP="00B71A73">
      <w:pPr>
        <w:ind w:left="720" w:hanging="720"/>
        <w:jc w:val="both"/>
        <w:rPr>
          <w:rFonts w:ascii="Arial" w:hAnsi="Arial" w:cs="Arial"/>
          <w:noProof/>
          <w:sz w:val="22"/>
          <w:szCs w:val="22"/>
          <w:lang w:val="en-US"/>
        </w:rPr>
      </w:pPr>
      <w:r w:rsidRPr="00B51596">
        <w:rPr>
          <w:rFonts w:ascii="Arial" w:eastAsia="Arial" w:hAnsi="Arial" w:cs="Arial"/>
          <w:sz w:val="22"/>
          <w:szCs w:val="22"/>
          <w:lang w:val="en" w:eastAsia="es-CO"/>
        </w:rPr>
        <w:t>SÁNCHEZ</w:t>
      </w:r>
      <w:r w:rsidRPr="00555447">
        <w:rPr>
          <w:rFonts w:ascii="Arial" w:hAnsi="Arial" w:cs="Arial"/>
          <w:noProof/>
          <w:sz w:val="22"/>
          <w:szCs w:val="22"/>
          <w:lang w:val="en-US"/>
        </w:rPr>
        <w:t>, B.D.</w:t>
      </w:r>
      <w:r w:rsidR="00FB6C38">
        <w:rPr>
          <w:rFonts w:ascii="Arial" w:hAnsi="Arial" w:cs="Arial"/>
          <w:noProof/>
          <w:sz w:val="22"/>
          <w:szCs w:val="22"/>
          <w:lang w:val="en-US"/>
        </w:rPr>
        <w:t>;</w:t>
      </w:r>
      <w:r w:rsidRPr="00555447">
        <w:rPr>
          <w:rFonts w:ascii="Arial" w:hAnsi="Arial" w:cs="Arial"/>
          <w:noProof/>
          <w:sz w:val="22"/>
          <w:szCs w:val="22"/>
          <w:lang w:val="en-US"/>
        </w:rPr>
        <w:t xml:space="preserve"> GÓMEZ, R.M.</w:t>
      </w:r>
      <w:r w:rsidR="00FB6C38">
        <w:rPr>
          <w:rFonts w:ascii="Arial" w:hAnsi="Arial" w:cs="Arial"/>
          <w:noProof/>
          <w:sz w:val="22"/>
          <w:szCs w:val="22"/>
          <w:lang w:val="en-US"/>
        </w:rPr>
        <w:t>;</w:t>
      </w:r>
      <w:r w:rsidRPr="00555447">
        <w:rPr>
          <w:rFonts w:ascii="Arial" w:hAnsi="Arial" w:cs="Arial"/>
          <w:noProof/>
          <w:sz w:val="22"/>
          <w:szCs w:val="22"/>
          <w:lang w:val="en-US"/>
        </w:rPr>
        <w:t xml:space="preserve"> GARCÍA, A.M.</w:t>
      </w:r>
      <w:r w:rsidR="00FB6C38">
        <w:rPr>
          <w:rFonts w:ascii="Arial" w:hAnsi="Arial" w:cs="Arial"/>
          <w:noProof/>
          <w:sz w:val="22"/>
          <w:szCs w:val="22"/>
          <w:lang w:val="en-US"/>
        </w:rPr>
        <w:t>;</w:t>
      </w:r>
      <w:r w:rsidRPr="00555447">
        <w:rPr>
          <w:rFonts w:ascii="Arial" w:hAnsi="Arial" w:cs="Arial"/>
          <w:noProof/>
          <w:sz w:val="22"/>
          <w:szCs w:val="22"/>
          <w:lang w:val="en-US"/>
        </w:rPr>
        <w:t xml:space="preserve"> BONILLA, R.R. </w:t>
      </w:r>
      <w:r w:rsidR="000E7723" w:rsidRPr="00555447">
        <w:rPr>
          <w:rFonts w:ascii="Arial" w:hAnsi="Arial" w:cs="Arial"/>
          <w:noProof/>
          <w:sz w:val="22"/>
          <w:szCs w:val="22"/>
          <w:lang w:val="en-US"/>
        </w:rPr>
        <w:t xml:space="preserve">Phosphate solubilizing bacteria isolated from </w:t>
      </w:r>
      <w:r w:rsidR="000E7723" w:rsidRPr="00FB6C38">
        <w:rPr>
          <w:rFonts w:ascii="Arial" w:hAnsi="Arial" w:cs="Arial"/>
          <w:i/>
          <w:iCs/>
          <w:noProof/>
          <w:sz w:val="22"/>
          <w:szCs w:val="22"/>
          <w:lang w:val="en-US"/>
        </w:rPr>
        <w:t>Pennisetum clandestinum</w:t>
      </w:r>
      <w:r w:rsidR="000E7723" w:rsidRPr="00555447">
        <w:rPr>
          <w:rFonts w:ascii="Arial" w:hAnsi="Arial" w:cs="Arial"/>
          <w:noProof/>
          <w:sz w:val="22"/>
          <w:szCs w:val="22"/>
          <w:lang w:val="en-US"/>
        </w:rPr>
        <w:t xml:space="preserve"> associate to livestock systems in the andean area. Revista UDCA Actualidad </w:t>
      </w:r>
      <w:r w:rsidR="001359E3" w:rsidRPr="00555447">
        <w:rPr>
          <w:rFonts w:ascii="Arial" w:hAnsi="Arial" w:cs="Arial"/>
          <w:noProof/>
          <w:sz w:val="22"/>
          <w:szCs w:val="22"/>
          <w:lang w:val="en-US"/>
        </w:rPr>
        <w:t>y</w:t>
      </w:r>
      <w:r w:rsidR="000E7723" w:rsidRPr="00555447">
        <w:rPr>
          <w:rFonts w:ascii="Arial" w:hAnsi="Arial" w:cs="Arial"/>
          <w:noProof/>
          <w:sz w:val="22"/>
          <w:szCs w:val="22"/>
          <w:lang w:val="en-US"/>
        </w:rPr>
        <w:t xml:space="preserve"> Divulgación Científica</w:t>
      </w:r>
      <w:r w:rsidR="00FB6C38">
        <w:rPr>
          <w:rFonts w:ascii="Arial" w:hAnsi="Arial" w:cs="Arial"/>
          <w:noProof/>
          <w:sz w:val="22"/>
          <w:szCs w:val="22"/>
          <w:lang w:val="en-US"/>
        </w:rPr>
        <w:t>, v.</w:t>
      </w:r>
      <w:r w:rsidR="000E7723" w:rsidRPr="00555447">
        <w:rPr>
          <w:rFonts w:ascii="Arial" w:hAnsi="Arial" w:cs="Arial"/>
          <w:noProof/>
          <w:sz w:val="22"/>
          <w:szCs w:val="22"/>
          <w:lang w:val="en-US"/>
        </w:rPr>
        <w:t> 17</w:t>
      </w:r>
      <w:r w:rsidR="00FB6C38">
        <w:rPr>
          <w:rFonts w:ascii="Arial" w:hAnsi="Arial" w:cs="Arial"/>
          <w:noProof/>
          <w:sz w:val="22"/>
          <w:szCs w:val="22"/>
          <w:lang w:val="en-US"/>
        </w:rPr>
        <w:t xml:space="preserve">, n. </w:t>
      </w:r>
      <w:r w:rsidR="000E7723" w:rsidRPr="00555447">
        <w:rPr>
          <w:rFonts w:ascii="Arial" w:hAnsi="Arial" w:cs="Arial"/>
          <w:noProof/>
          <w:sz w:val="22"/>
          <w:szCs w:val="22"/>
          <w:lang w:val="en-US"/>
        </w:rPr>
        <w:t>2</w:t>
      </w:r>
      <w:r w:rsidR="000E625A" w:rsidRPr="00555447">
        <w:rPr>
          <w:rFonts w:ascii="Arial" w:hAnsi="Arial" w:cs="Arial"/>
          <w:noProof/>
          <w:sz w:val="22"/>
          <w:szCs w:val="22"/>
          <w:lang w:val="en-US"/>
        </w:rPr>
        <w:t xml:space="preserve">, 2014, </w:t>
      </w:r>
      <w:r w:rsidR="00FB6C38">
        <w:rPr>
          <w:rFonts w:ascii="Arial" w:hAnsi="Arial" w:cs="Arial"/>
          <w:noProof/>
          <w:sz w:val="22"/>
          <w:szCs w:val="22"/>
          <w:lang w:val="en-US"/>
        </w:rPr>
        <w:t xml:space="preserve">p. </w:t>
      </w:r>
      <w:r w:rsidR="000E7723" w:rsidRPr="00555447">
        <w:rPr>
          <w:rFonts w:ascii="Arial" w:hAnsi="Arial" w:cs="Arial"/>
          <w:noProof/>
          <w:sz w:val="22"/>
          <w:szCs w:val="22"/>
          <w:lang w:val="en-US"/>
        </w:rPr>
        <w:t>423-431</w:t>
      </w:r>
      <w:r w:rsidR="000E625A" w:rsidRPr="00555447">
        <w:rPr>
          <w:rFonts w:ascii="Arial" w:hAnsi="Arial" w:cs="Arial"/>
          <w:noProof/>
          <w:sz w:val="22"/>
          <w:szCs w:val="22"/>
          <w:lang w:val="en-US"/>
        </w:rPr>
        <w:t>.</w:t>
      </w:r>
    </w:p>
    <w:p w14:paraId="26923146" w14:textId="44276093" w:rsidR="00DF2431" w:rsidRPr="00555447" w:rsidRDefault="008220E2" w:rsidP="00B71A73">
      <w:pPr>
        <w:ind w:left="720" w:hanging="720"/>
        <w:jc w:val="both"/>
        <w:rPr>
          <w:rFonts w:ascii="Arial" w:hAnsi="Arial" w:cs="Arial"/>
          <w:noProof/>
          <w:sz w:val="22"/>
          <w:szCs w:val="22"/>
          <w:lang w:val="en-US"/>
        </w:rPr>
      </w:pPr>
      <w:r w:rsidRPr="00B51596">
        <w:rPr>
          <w:rFonts w:ascii="Arial" w:eastAsia="Arial" w:hAnsi="Arial" w:cs="Arial"/>
          <w:sz w:val="22"/>
          <w:szCs w:val="22"/>
          <w:lang w:val="en" w:eastAsia="es-CO"/>
        </w:rPr>
        <w:t>SÁNCHEZ</w:t>
      </w:r>
      <w:r w:rsidRPr="00555447">
        <w:rPr>
          <w:rFonts w:ascii="Arial" w:hAnsi="Arial" w:cs="Arial"/>
          <w:noProof/>
          <w:sz w:val="22"/>
          <w:szCs w:val="22"/>
          <w:lang w:val="en-US"/>
        </w:rPr>
        <w:t>, P.A. Phospohorus. In: Properties and Management of Soils in the Tropics. 2</w:t>
      </w:r>
      <w:r w:rsidRPr="00555447">
        <w:rPr>
          <w:rFonts w:ascii="Arial" w:hAnsi="Arial" w:cs="Arial"/>
          <w:noProof/>
          <w:sz w:val="22"/>
          <w:szCs w:val="22"/>
          <w:vertAlign w:val="superscript"/>
          <w:lang w:val="en-US"/>
        </w:rPr>
        <w:t>nd</w:t>
      </w:r>
      <w:r w:rsidRPr="00555447">
        <w:rPr>
          <w:rFonts w:ascii="Arial" w:hAnsi="Arial" w:cs="Arial"/>
          <w:noProof/>
          <w:sz w:val="22"/>
          <w:szCs w:val="22"/>
          <w:lang w:val="en-US"/>
        </w:rPr>
        <w:t>. Editiion, 2019, pp 370-414.</w:t>
      </w:r>
      <w:r w:rsidR="00DF2431" w:rsidRPr="00555447">
        <w:rPr>
          <w:rFonts w:ascii="Arial" w:hAnsi="Arial" w:cs="Arial"/>
          <w:noProof/>
          <w:sz w:val="22"/>
          <w:szCs w:val="22"/>
          <w:lang w:val="en-US"/>
        </w:rPr>
        <w:t xml:space="preserve"> Cambridge University Press.</w:t>
      </w:r>
    </w:p>
    <w:p w14:paraId="27361784" w14:textId="6DEB1726" w:rsidR="008220E2" w:rsidRPr="00C604AA" w:rsidRDefault="00C604AA" w:rsidP="00C604AA">
      <w:pPr>
        <w:ind w:firstLine="720"/>
        <w:rPr>
          <w:rFonts w:ascii="Arial" w:hAnsi="Arial" w:cs="Arial"/>
          <w:sz w:val="22"/>
          <w:szCs w:val="22"/>
        </w:rPr>
      </w:pPr>
      <w:hyperlink r:id="rId34" w:history="1">
        <w:r w:rsidRPr="00DF2431">
          <w:rPr>
            <w:rStyle w:val="Hipervnculo"/>
            <w:rFonts w:ascii="Arial" w:hAnsi="Arial" w:cs="Arial"/>
            <w:sz w:val="22"/>
            <w:szCs w:val="22"/>
            <w:bdr w:val="none" w:sz="0" w:space="0" w:color="auto" w:frame="1"/>
          </w:rPr>
          <w:t>https://doi.org/10.1017/9781316809785.016</w:t>
        </w:r>
      </w:hyperlink>
    </w:p>
    <w:p w14:paraId="576DEA29" w14:textId="773E7FBE" w:rsidR="00112471" w:rsidRPr="00555447" w:rsidRDefault="00112471" w:rsidP="00B51596">
      <w:pPr>
        <w:ind w:left="720" w:hanging="720"/>
        <w:jc w:val="both"/>
        <w:rPr>
          <w:rFonts w:ascii="Arial" w:hAnsi="Arial" w:cs="Arial"/>
          <w:noProof/>
          <w:sz w:val="22"/>
          <w:szCs w:val="22"/>
          <w:lang w:val="en-US"/>
        </w:rPr>
      </w:pPr>
      <w:r w:rsidRPr="00555447">
        <w:rPr>
          <w:rFonts w:ascii="Arial" w:hAnsi="Arial" w:cs="Arial"/>
          <w:noProof/>
          <w:sz w:val="22"/>
          <w:szCs w:val="22"/>
          <w:lang w:val="en-US"/>
        </w:rPr>
        <w:t>SHANG, Y.</w:t>
      </w:r>
      <w:r w:rsidR="00C604AA">
        <w:rPr>
          <w:rFonts w:ascii="Arial" w:hAnsi="Arial" w:cs="Arial"/>
          <w:noProof/>
          <w:sz w:val="22"/>
          <w:szCs w:val="22"/>
          <w:lang w:val="en-US"/>
        </w:rPr>
        <w:t>;</w:t>
      </w:r>
      <w:r w:rsidRPr="00555447">
        <w:rPr>
          <w:rFonts w:ascii="Arial" w:hAnsi="Arial" w:cs="Arial"/>
          <w:noProof/>
          <w:sz w:val="22"/>
          <w:szCs w:val="22"/>
          <w:lang w:val="en-US"/>
        </w:rPr>
        <w:t xml:space="preserve"> HASAN, M.</w:t>
      </w:r>
      <w:r w:rsidR="00C604AA">
        <w:rPr>
          <w:rFonts w:ascii="Arial" w:hAnsi="Arial" w:cs="Arial"/>
          <w:noProof/>
          <w:sz w:val="22"/>
          <w:szCs w:val="22"/>
          <w:lang w:val="en-US"/>
        </w:rPr>
        <w:t>;</w:t>
      </w:r>
      <w:r w:rsidRPr="00555447">
        <w:rPr>
          <w:rFonts w:ascii="Arial" w:hAnsi="Arial" w:cs="Arial"/>
          <w:noProof/>
          <w:sz w:val="22"/>
          <w:szCs w:val="22"/>
          <w:lang w:val="en-US"/>
        </w:rPr>
        <w:t xml:space="preserve"> AHAMMED, G. J.</w:t>
      </w:r>
      <w:r w:rsidR="00C604AA">
        <w:rPr>
          <w:rFonts w:ascii="Arial" w:hAnsi="Arial" w:cs="Arial"/>
          <w:noProof/>
          <w:sz w:val="22"/>
          <w:szCs w:val="22"/>
          <w:lang w:val="en-US"/>
        </w:rPr>
        <w:t>;</w:t>
      </w:r>
      <w:r w:rsidRPr="00555447">
        <w:rPr>
          <w:rFonts w:ascii="Arial" w:hAnsi="Arial" w:cs="Arial"/>
          <w:noProof/>
          <w:sz w:val="22"/>
          <w:szCs w:val="22"/>
          <w:lang w:val="en-US"/>
        </w:rPr>
        <w:t xml:space="preserve"> LI, M.</w:t>
      </w:r>
      <w:r w:rsidR="00C604AA">
        <w:rPr>
          <w:rFonts w:ascii="Arial" w:hAnsi="Arial" w:cs="Arial"/>
          <w:noProof/>
          <w:sz w:val="22"/>
          <w:szCs w:val="22"/>
          <w:lang w:val="en-US"/>
        </w:rPr>
        <w:t>;</w:t>
      </w:r>
      <w:r w:rsidRPr="00555447">
        <w:rPr>
          <w:rFonts w:ascii="Arial" w:hAnsi="Arial" w:cs="Arial"/>
          <w:noProof/>
          <w:sz w:val="22"/>
          <w:szCs w:val="22"/>
          <w:lang w:val="en-US"/>
        </w:rPr>
        <w:t xml:space="preserve"> YIN, H.</w:t>
      </w:r>
      <w:r w:rsidR="00C604AA">
        <w:rPr>
          <w:rFonts w:ascii="Arial" w:hAnsi="Arial" w:cs="Arial"/>
          <w:noProof/>
          <w:sz w:val="22"/>
          <w:szCs w:val="22"/>
          <w:lang w:val="en-US"/>
        </w:rPr>
        <w:t>;</w:t>
      </w:r>
      <w:r w:rsidRPr="00555447">
        <w:rPr>
          <w:rFonts w:ascii="Arial" w:hAnsi="Arial" w:cs="Arial"/>
          <w:noProof/>
          <w:sz w:val="22"/>
          <w:szCs w:val="22"/>
          <w:lang w:val="en-US"/>
        </w:rPr>
        <w:t xml:space="preserve"> ZHOU, J. </w:t>
      </w:r>
      <w:r w:rsidRPr="00555447">
        <w:rPr>
          <w:rFonts w:ascii="Arial" w:hAnsi="Arial" w:cs="Arial"/>
          <w:noProof/>
          <w:sz w:val="22"/>
          <w:szCs w:val="22"/>
          <w:lang w:val="en-US"/>
        </w:rPr>
        <w:t>Applications of nanotechnology in plant growth and crop protection: a review. Molecules, </w:t>
      </w:r>
      <w:r w:rsidR="001359E3" w:rsidRPr="00555447">
        <w:rPr>
          <w:rFonts w:ascii="Arial" w:hAnsi="Arial" w:cs="Arial"/>
          <w:noProof/>
          <w:sz w:val="22"/>
          <w:szCs w:val="22"/>
          <w:lang w:val="en-US"/>
        </w:rPr>
        <w:t xml:space="preserve">v. </w:t>
      </w:r>
      <w:r w:rsidRPr="00555447">
        <w:rPr>
          <w:rFonts w:ascii="Arial" w:hAnsi="Arial" w:cs="Arial"/>
          <w:noProof/>
          <w:sz w:val="22"/>
          <w:szCs w:val="22"/>
          <w:lang w:val="en-US"/>
        </w:rPr>
        <w:t>24</w:t>
      </w:r>
      <w:r w:rsidR="001359E3" w:rsidRPr="00555447">
        <w:rPr>
          <w:rFonts w:ascii="Arial" w:hAnsi="Arial" w:cs="Arial"/>
          <w:noProof/>
          <w:sz w:val="22"/>
          <w:szCs w:val="22"/>
          <w:lang w:val="en-US"/>
        </w:rPr>
        <w:t xml:space="preserve"> n.</w:t>
      </w:r>
      <w:r w:rsidRPr="00555447">
        <w:rPr>
          <w:rFonts w:ascii="Arial" w:hAnsi="Arial" w:cs="Arial"/>
          <w:noProof/>
          <w:sz w:val="22"/>
          <w:szCs w:val="22"/>
          <w:lang w:val="en-US"/>
        </w:rPr>
        <w:t xml:space="preserve">14, </w:t>
      </w:r>
      <w:r w:rsidR="001359E3" w:rsidRPr="00555447">
        <w:rPr>
          <w:rFonts w:ascii="Arial" w:hAnsi="Arial" w:cs="Arial"/>
          <w:noProof/>
          <w:sz w:val="22"/>
          <w:szCs w:val="22"/>
          <w:lang w:val="en-US"/>
        </w:rPr>
        <w:t xml:space="preserve">2019, p- </w:t>
      </w:r>
      <w:r w:rsidRPr="00555447">
        <w:rPr>
          <w:rFonts w:ascii="Arial" w:hAnsi="Arial" w:cs="Arial"/>
          <w:noProof/>
          <w:sz w:val="22"/>
          <w:szCs w:val="22"/>
          <w:lang w:val="en-US"/>
        </w:rPr>
        <w:t>2558.</w:t>
      </w:r>
      <w:r w:rsidR="001359E3" w:rsidRPr="00555447">
        <w:rPr>
          <w:rFonts w:ascii="Arial" w:hAnsi="Arial" w:cs="Arial"/>
          <w:noProof/>
          <w:sz w:val="22"/>
          <w:szCs w:val="22"/>
          <w:lang w:val="en-US"/>
        </w:rPr>
        <w:t xml:space="preserve"> </w:t>
      </w:r>
    </w:p>
    <w:p w14:paraId="37C28C36" w14:textId="6E78CB0A" w:rsidR="00241D09" w:rsidRPr="007A139F" w:rsidRDefault="00C604AA" w:rsidP="007A139F">
      <w:pPr>
        <w:widowControl w:val="0"/>
        <w:autoSpaceDE w:val="0"/>
        <w:autoSpaceDN w:val="0"/>
        <w:adjustRightInd w:val="0"/>
        <w:ind w:left="480" w:firstLine="240"/>
        <w:jc w:val="both"/>
        <w:rPr>
          <w:rStyle w:val="Hipervnculo"/>
          <w:rFonts w:ascii="Arial" w:hAnsi="Arial" w:cs="Arial"/>
          <w:noProof/>
          <w:color w:val="auto"/>
          <w:sz w:val="22"/>
          <w:szCs w:val="22"/>
          <w:u w:val="none"/>
          <w:lang w:val="en-US"/>
        </w:rPr>
      </w:pPr>
      <w:r>
        <w:rPr>
          <w:rStyle w:val="Hipervnculo"/>
          <w:rFonts w:ascii="Arial" w:hAnsi="Arial" w:cs="Arial"/>
          <w:noProof/>
          <w:sz w:val="22"/>
          <w:szCs w:val="22"/>
        </w:rPr>
        <w:t>https://doi.org/</w:t>
      </w:r>
      <w:hyperlink r:id="rId35" w:tgtFrame="_blank" w:history="1">
        <w:r w:rsidR="001359E3" w:rsidRPr="00555447">
          <w:rPr>
            <w:rStyle w:val="Hipervnculo"/>
            <w:rFonts w:ascii="Arial" w:hAnsi="Arial" w:cs="Arial"/>
            <w:noProof/>
            <w:sz w:val="22"/>
            <w:szCs w:val="22"/>
          </w:rPr>
          <w:t>10.3390/molecules24142558</w:t>
        </w:r>
      </w:hyperlink>
    </w:p>
    <w:p w14:paraId="6B090E42" w14:textId="07DB07B3" w:rsidR="00241D09" w:rsidRPr="001E5B29" w:rsidRDefault="007A139F" w:rsidP="001E5B29">
      <w:pPr>
        <w:ind w:left="720" w:hanging="720"/>
        <w:jc w:val="both"/>
        <w:rPr>
          <w:rStyle w:val="Hipervnculo"/>
          <w:rFonts w:ascii="Arial" w:hAnsi="Arial" w:cs="Arial"/>
          <w:color w:val="auto"/>
          <w:sz w:val="22"/>
          <w:szCs w:val="22"/>
          <w:u w:val="none"/>
          <w:lang w:val="en-US"/>
        </w:rPr>
      </w:pPr>
      <w:r w:rsidRPr="00B51596">
        <w:rPr>
          <w:rFonts w:ascii="Arial" w:eastAsia="Arial" w:hAnsi="Arial" w:cs="Arial"/>
          <w:sz w:val="22"/>
          <w:szCs w:val="22"/>
          <w:lang w:val="en" w:eastAsia="es-CO"/>
        </w:rPr>
        <w:t>TUFAIL</w:t>
      </w:r>
      <w:r w:rsidRPr="00555447">
        <w:rPr>
          <w:rFonts w:ascii="Arial" w:hAnsi="Arial" w:cs="Arial"/>
          <w:color w:val="222222"/>
          <w:sz w:val="22"/>
          <w:szCs w:val="22"/>
          <w:shd w:val="clear" w:color="auto" w:fill="FFFFFF"/>
          <w:lang w:val="en-US"/>
        </w:rPr>
        <w:t>, M. A.</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TOUCEDA-GONZÁLEZ, M.</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PERTOT, I.</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EHLERS, R. U</w:t>
      </w:r>
      <w:r w:rsidR="00241D09" w:rsidRPr="00555447">
        <w:rPr>
          <w:rFonts w:ascii="Arial" w:hAnsi="Arial" w:cs="Arial"/>
          <w:color w:val="222222"/>
          <w:sz w:val="22"/>
          <w:szCs w:val="22"/>
          <w:shd w:val="clear" w:color="auto" w:fill="FFFFFF"/>
          <w:lang w:val="en-US"/>
        </w:rPr>
        <w:t xml:space="preserve">. </w:t>
      </w:r>
      <w:r w:rsidR="00241D09" w:rsidRPr="007A139F">
        <w:rPr>
          <w:rFonts w:ascii="Arial" w:hAnsi="Arial" w:cs="Arial"/>
          <w:i/>
          <w:iCs/>
          <w:color w:val="222222"/>
          <w:sz w:val="22"/>
          <w:szCs w:val="22"/>
          <w:shd w:val="clear" w:color="auto" w:fill="FFFFFF"/>
          <w:lang w:val="en-US"/>
        </w:rPr>
        <w:t xml:space="preserve">Gluconacetobacter </w:t>
      </w:r>
      <w:r w:rsidR="00241D09" w:rsidRPr="007A139F">
        <w:rPr>
          <w:rFonts w:ascii="Arial" w:eastAsia="Arial" w:hAnsi="Arial" w:cs="Arial"/>
          <w:i/>
          <w:iCs/>
          <w:sz w:val="22"/>
          <w:szCs w:val="22"/>
          <w:lang w:val="en" w:eastAsia="es-CO"/>
        </w:rPr>
        <w:t>diazotrophicus</w:t>
      </w:r>
      <w:r w:rsidR="00241D09" w:rsidRPr="00555447">
        <w:rPr>
          <w:rFonts w:ascii="Arial" w:hAnsi="Arial" w:cs="Arial"/>
          <w:color w:val="222222"/>
          <w:sz w:val="22"/>
          <w:szCs w:val="22"/>
          <w:shd w:val="clear" w:color="auto" w:fill="FFFFFF"/>
          <w:lang w:val="en-US"/>
        </w:rPr>
        <w:t xml:space="preserve"> Pal5 Enhances Plant Robustness Status under the Combination of Moderate Drought and Low Nitrogen Stress in </w:t>
      </w:r>
      <w:proofErr w:type="spellStart"/>
      <w:r w:rsidR="00241D09" w:rsidRPr="007A139F">
        <w:rPr>
          <w:rFonts w:ascii="Arial" w:hAnsi="Arial" w:cs="Arial"/>
          <w:i/>
          <w:iCs/>
          <w:color w:val="222222"/>
          <w:sz w:val="22"/>
          <w:szCs w:val="22"/>
          <w:shd w:val="clear" w:color="auto" w:fill="FFFFFF"/>
          <w:lang w:val="en-US"/>
        </w:rPr>
        <w:t>Zea</w:t>
      </w:r>
      <w:proofErr w:type="spellEnd"/>
      <w:r w:rsidR="00241D09" w:rsidRPr="007A139F">
        <w:rPr>
          <w:rFonts w:ascii="Arial" w:hAnsi="Arial" w:cs="Arial"/>
          <w:i/>
          <w:iCs/>
          <w:color w:val="222222"/>
          <w:sz w:val="22"/>
          <w:szCs w:val="22"/>
          <w:shd w:val="clear" w:color="auto" w:fill="FFFFFF"/>
          <w:lang w:val="en-US"/>
        </w:rPr>
        <w:t xml:space="preserve"> mays</w:t>
      </w:r>
      <w:r w:rsidR="00241D09" w:rsidRPr="00555447">
        <w:rPr>
          <w:rFonts w:ascii="Arial" w:hAnsi="Arial" w:cs="Arial"/>
          <w:color w:val="222222"/>
          <w:sz w:val="22"/>
          <w:szCs w:val="22"/>
          <w:shd w:val="clear" w:color="auto" w:fill="FFFFFF"/>
          <w:lang w:val="en-US"/>
        </w:rPr>
        <w:t xml:space="preserve"> L.</w:t>
      </w:r>
      <w:r w:rsidR="00241D09" w:rsidRPr="00555447">
        <w:rPr>
          <w:rStyle w:val="apple-converted-space"/>
          <w:rFonts w:ascii="Arial" w:hAnsi="Arial" w:cs="Arial"/>
          <w:color w:val="222222"/>
          <w:sz w:val="22"/>
          <w:szCs w:val="22"/>
          <w:shd w:val="clear" w:color="auto" w:fill="FFFFFF"/>
          <w:lang w:val="en-US"/>
        </w:rPr>
        <w:t> </w:t>
      </w:r>
      <w:r w:rsidR="00241D09" w:rsidRPr="007A139F">
        <w:rPr>
          <w:rFonts w:ascii="Arial" w:hAnsi="Arial" w:cs="Arial"/>
          <w:color w:val="222222"/>
          <w:sz w:val="22"/>
          <w:szCs w:val="22"/>
          <w:lang w:val="en-US"/>
        </w:rPr>
        <w:t>Microorganisms</w:t>
      </w:r>
      <w:r w:rsidR="00241D09" w:rsidRPr="007A139F">
        <w:rPr>
          <w:rFonts w:ascii="Arial" w:hAnsi="Arial" w:cs="Arial"/>
          <w:color w:val="222222"/>
          <w:sz w:val="22"/>
          <w:szCs w:val="22"/>
          <w:shd w:val="clear" w:color="auto" w:fill="FFFFFF"/>
          <w:lang w:val="en-US"/>
        </w:rPr>
        <w:t>,</w:t>
      </w:r>
      <w:r w:rsidR="00241D09" w:rsidRPr="007A139F">
        <w:rPr>
          <w:rStyle w:val="apple-converted-space"/>
          <w:rFonts w:ascii="Arial" w:hAnsi="Arial" w:cs="Arial"/>
          <w:color w:val="222222"/>
          <w:sz w:val="22"/>
          <w:szCs w:val="22"/>
          <w:shd w:val="clear" w:color="auto" w:fill="FFFFFF"/>
          <w:lang w:val="en-US"/>
        </w:rPr>
        <w:t> </w:t>
      </w:r>
      <w:r>
        <w:rPr>
          <w:rStyle w:val="apple-converted-space"/>
          <w:rFonts w:ascii="Arial" w:hAnsi="Arial" w:cs="Arial"/>
          <w:color w:val="222222"/>
          <w:sz w:val="22"/>
          <w:szCs w:val="22"/>
          <w:shd w:val="clear" w:color="auto" w:fill="FFFFFF"/>
          <w:lang w:val="en-US"/>
        </w:rPr>
        <w:t xml:space="preserve">v. </w:t>
      </w:r>
      <w:r w:rsidR="00241D09" w:rsidRPr="007A139F">
        <w:rPr>
          <w:rFonts w:ascii="Arial" w:hAnsi="Arial" w:cs="Arial"/>
          <w:color w:val="222222"/>
          <w:sz w:val="22"/>
          <w:szCs w:val="22"/>
          <w:lang w:val="en-US"/>
        </w:rPr>
        <w:t>9</w:t>
      </w:r>
      <w:r>
        <w:rPr>
          <w:rFonts w:ascii="Arial" w:hAnsi="Arial" w:cs="Arial"/>
          <w:color w:val="222222"/>
          <w:sz w:val="22"/>
          <w:szCs w:val="22"/>
          <w:lang w:val="en-US"/>
        </w:rPr>
        <w:t xml:space="preserve">, n. </w:t>
      </w:r>
      <w:r w:rsidR="00241D09" w:rsidRPr="007A139F">
        <w:rPr>
          <w:rFonts w:ascii="Arial" w:hAnsi="Arial" w:cs="Arial"/>
          <w:color w:val="222222"/>
          <w:sz w:val="22"/>
          <w:szCs w:val="22"/>
          <w:shd w:val="clear" w:color="auto" w:fill="FFFFFF"/>
          <w:lang w:val="en-US"/>
        </w:rPr>
        <w:t>4,</w:t>
      </w:r>
      <w:r w:rsidR="00241D09" w:rsidRPr="00555447">
        <w:rPr>
          <w:rFonts w:ascii="Arial" w:hAnsi="Arial" w:cs="Arial"/>
          <w:color w:val="222222"/>
          <w:sz w:val="22"/>
          <w:szCs w:val="22"/>
          <w:shd w:val="clear" w:color="auto" w:fill="FFFFFF"/>
          <w:lang w:val="en-US"/>
        </w:rPr>
        <w:t xml:space="preserve"> </w:t>
      </w:r>
      <w:r>
        <w:rPr>
          <w:rFonts w:ascii="Arial" w:hAnsi="Arial" w:cs="Arial"/>
          <w:color w:val="222222"/>
          <w:sz w:val="22"/>
          <w:szCs w:val="22"/>
          <w:shd w:val="clear" w:color="auto" w:fill="FFFFFF"/>
          <w:lang w:val="en-US"/>
        </w:rPr>
        <w:t xml:space="preserve">2021, p. </w:t>
      </w:r>
      <w:r w:rsidR="00241D09" w:rsidRPr="00555447">
        <w:rPr>
          <w:rFonts w:ascii="Arial" w:hAnsi="Arial" w:cs="Arial"/>
          <w:color w:val="222222"/>
          <w:sz w:val="22"/>
          <w:szCs w:val="22"/>
          <w:shd w:val="clear" w:color="auto" w:fill="FFFFFF"/>
          <w:lang w:val="en-US"/>
        </w:rPr>
        <w:t>870.</w:t>
      </w:r>
    </w:p>
    <w:p w14:paraId="10CB6EA9" w14:textId="78C31DA3" w:rsidR="00241D09" w:rsidRPr="001E5B29" w:rsidRDefault="00241D09" w:rsidP="001E5B29">
      <w:pPr>
        <w:ind w:firstLine="720"/>
        <w:rPr>
          <w:rStyle w:val="Hipervnculo"/>
          <w:rFonts w:ascii="Arial" w:hAnsi="Arial" w:cs="Arial"/>
          <w:sz w:val="22"/>
          <w:szCs w:val="22"/>
          <w:bdr w:val="none" w:sz="0" w:space="0" w:color="auto" w:frame="1"/>
        </w:rPr>
      </w:pPr>
      <w:hyperlink r:id="rId36" w:history="1">
        <w:r w:rsidRPr="00241D09">
          <w:rPr>
            <w:rStyle w:val="Hipervnculo"/>
            <w:rFonts w:ascii="Arial" w:hAnsi="Arial" w:cs="Arial"/>
            <w:sz w:val="22"/>
            <w:szCs w:val="22"/>
            <w:bdr w:val="none" w:sz="0" w:space="0" w:color="auto" w:frame="1"/>
          </w:rPr>
          <w:t>https://doi.org/10.3390/microorganisms9040870</w:t>
        </w:r>
      </w:hyperlink>
    </w:p>
    <w:p w14:paraId="54A445FE" w14:textId="7054FE95" w:rsidR="003808D3" w:rsidRPr="00555447" w:rsidRDefault="00254CBA" w:rsidP="001E5B29">
      <w:pPr>
        <w:ind w:left="720" w:hanging="720"/>
        <w:jc w:val="both"/>
        <w:rPr>
          <w:rFonts w:ascii="Arial" w:hAnsi="Arial" w:cs="Arial"/>
          <w:noProof/>
          <w:sz w:val="22"/>
          <w:szCs w:val="22"/>
          <w:lang w:val="en-US"/>
        </w:rPr>
      </w:pPr>
      <w:r w:rsidRPr="00B51596">
        <w:rPr>
          <w:rFonts w:ascii="Arial" w:eastAsia="Arial" w:hAnsi="Arial" w:cs="Arial"/>
          <w:sz w:val="22"/>
          <w:szCs w:val="22"/>
          <w:lang w:val="en" w:eastAsia="es-CO"/>
        </w:rPr>
        <w:t>UNIVERSIDAD</w:t>
      </w:r>
      <w:r w:rsidRPr="00555447">
        <w:rPr>
          <w:rFonts w:ascii="Arial" w:hAnsi="Arial" w:cs="Arial"/>
          <w:noProof/>
          <w:sz w:val="22"/>
          <w:szCs w:val="22"/>
          <w:lang w:val="en-US"/>
        </w:rPr>
        <w:t xml:space="preserve"> DE CALDAS (2014). Sistema de Granjas – Granja Tesorito (Farms System – Tesorito Farm, in Spanish). Accesed: January 2016. </w:t>
      </w:r>
      <w:hyperlink r:id="rId37" w:history="1">
        <w:r w:rsidRPr="00555447">
          <w:rPr>
            <w:rFonts w:ascii="Arial" w:hAnsi="Arial" w:cs="Arial"/>
            <w:noProof/>
            <w:sz w:val="22"/>
            <w:szCs w:val="22"/>
          </w:rPr>
          <w:t>http://www.ucaldas.edu.co/portal/?s=sistema+granjas&amp;x=0&amp;y=0</w:t>
        </w:r>
      </w:hyperlink>
      <w:r w:rsidRPr="00555447">
        <w:rPr>
          <w:rFonts w:ascii="Arial" w:hAnsi="Arial" w:cs="Arial"/>
          <w:noProof/>
          <w:sz w:val="22"/>
          <w:szCs w:val="22"/>
          <w:lang w:val="en-US"/>
        </w:rPr>
        <w:t>.</w:t>
      </w:r>
    </w:p>
    <w:p w14:paraId="3471EEB8" w14:textId="5DB5A059" w:rsidR="003808D3" w:rsidRPr="007B4C1C" w:rsidRDefault="001E5B29" w:rsidP="00B51596">
      <w:pPr>
        <w:ind w:left="720" w:hanging="720"/>
        <w:jc w:val="both"/>
        <w:rPr>
          <w:rFonts w:ascii="Arial" w:hAnsi="Arial" w:cs="Arial"/>
          <w:sz w:val="22"/>
          <w:szCs w:val="22"/>
          <w:lang w:val="en-US"/>
        </w:rPr>
      </w:pPr>
      <w:r w:rsidRPr="007B4C1C">
        <w:rPr>
          <w:rFonts w:ascii="Arial" w:eastAsia="Arial" w:hAnsi="Arial" w:cs="Arial"/>
          <w:sz w:val="22"/>
          <w:szCs w:val="22"/>
          <w:lang w:val="en-US" w:eastAsia="es-CO"/>
        </w:rPr>
        <w:t>YADAV</w:t>
      </w:r>
      <w:r w:rsidRPr="007B4C1C">
        <w:rPr>
          <w:rFonts w:ascii="Arial" w:hAnsi="Arial" w:cs="Arial"/>
          <w:color w:val="222222"/>
          <w:sz w:val="22"/>
          <w:szCs w:val="22"/>
          <w:shd w:val="clear" w:color="auto" w:fill="FFFFFF"/>
          <w:lang w:val="en-US"/>
        </w:rPr>
        <w:t>, A. N.; KOUR, D.; KAUR, T.; DEVI, R.; YADAV, A.; DIKILITAS, M.; ... SAXENA, A. K</w:t>
      </w:r>
      <w:r w:rsidR="003808D3" w:rsidRPr="007B4C1C">
        <w:rPr>
          <w:rFonts w:ascii="Arial" w:hAnsi="Arial" w:cs="Arial"/>
          <w:color w:val="222222"/>
          <w:sz w:val="22"/>
          <w:szCs w:val="22"/>
          <w:shd w:val="clear" w:color="auto" w:fill="FFFFFF"/>
          <w:lang w:val="en-US"/>
        </w:rPr>
        <w:t xml:space="preserve">. </w:t>
      </w:r>
      <w:r w:rsidR="003808D3" w:rsidRPr="00555447">
        <w:rPr>
          <w:rFonts w:ascii="Arial" w:hAnsi="Arial" w:cs="Arial"/>
          <w:color w:val="222222"/>
          <w:sz w:val="22"/>
          <w:szCs w:val="22"/>
          <w:shd w:val="clear" w:color="auto" w:fill="FFFFFF"/>
          <w:lang w:val="en-US"/>
        </w:rPr>
        <w:t>Biodiversity, and biotechnological contribution of beneficial soil microbiomes for nutrient cycling, plant growth improvement and nutrient uptake.</w:t>
      </w:r>
      <w:r w:rsidR="003808D3" w:rsidRPr="00555447">
        <w:rPr>
          <w:rStyle w:val="apple-converted-space"/>
          <w:rFonts w:ascii="Arial" w:hAnsi="Arial" w:cs="Arial"/>
          <w:color w:val="222222"/>
          <w:sz w:val="22"/>
          <w:szCs w:val="22"/>
          <w:shd w:val="clear" w:color="auto" w:fill="FFFFFF"/>
          <w:lang w:val="en-US"/>
        </w:rPr>
        <w:t> </w:t>
      </w:r>
      <w:proofErr w:type="spellStart"/>
      <w:r w:rsidR="003808D3" w:rsidRPr="007B4C1C">
        <w:rPr>
          <w:rFonts w:ascii="Arial" w:hAnsi="Arial" w:cs="Arial"/>
          <w:color w:val="222222"/>
          <w:sz w:val="22"/>
          <w:szCs w:val="22"/>
          <w:lang w:val="en-US"/>
        </w:rPr>
        <w:t>Biocatalysis</w:t>
      </w:r>
      <w:proofErr w:type="spellEnd"/>
      <w:r w:rsidR="003808D3" w:rsidRPr="007B4C1C">
        <w:rPr>
          <w:rFonts w:ascii="Arial" w:hAnsi="Arial" w:cs="Arial"/>
          <w:color w:val="222222"/>
          <w:sz w:val="22"/>
          <w:szCs w:val="22"/>
          <w:lang w:val="en-US"/>
        </w:rPr>
        <w:t xml:space="preserve"> and Agricultural Biotechnology</w:t>
      </w:r>
      <w:r w:rsidR="003808D3" w:rsidRPr="007B4C1C">
        <w:rPr>
          <w:rFonts w:ascii="Arial" w:hAnsi="Arial" w:cs="Arial"/>
          <w:color w:val="222222"/>
          <w:sz w:val="22"/>
          <w:szCs w:val="22"/>
          <w:shd w:val="clear" w:color="auto" w:fill="FFFFFF"/>
          <w:lang w:val="en-US"/>
        </w:rPr>
        <w:t xml:space="preserve">, </w:t>
      </w:r>
      <w:r w:rsidRPr="007B4C1C">
        <w:rPr>
          <w:rFonts w:ascii="Arial" w:hAnsi="Arial" w:cs="Arial"/>
          <w:color w:val="222222"/>
          <w:sz w:val="22"/>
          <w:szCs w:val="22"/>
          <w:shd w:val="clear" w:color="auto" w:fill="FFFFFF"/>
          <w:lang w:val="en-US"/>
        </w:rPr>
        <w:t xml:space="preserve">2021, </w:t>
      </w:r>
      <w:r w:rsidR="003808D3" w:rsidRPr="007B4C1C">
        <w:rPr>
          <w:rFonts w:ascii="Arial" w:hAnsi="Arial" w:cs="Arial"/>
          <w:color w:val="222222"/>
          <w:sz w:val="22"/>
          <w:szCs w:val="22"/>
          <w:shd w:val="clear" w:color="auto" w:fill="FFFFFF"/>
          <w:lang w:val="en-US"/>
        </w:rPr>
        <w:t>102009.</w:t>
      </w:r>
    </w:p>
    <w:p w14:paraId="169ACBAC" w14:textId="7B9C8325" w:rsidR="001F7302" w:rsidRPr="007B4C1C" w:rsidRDefault="007B4C1C" w:rsidP="007B4C1C">
      <w:pPr>
        <w:ind w:firstLine="720"/>
        <w:rPr>
          <w:rFonts w:ascii="Arial" w:hAnsi="Arial" w:cs="Arial"/>
          <w:sz w:val="22"/>
          <w:szCs w:val="22"/>
          <w:lang w:val="en-US"/>
        </w:rPr>
      </w:pPr>
      <w:hyperlink r:id="rId38" w:history="1">
        <w:r w:rsidRPr="003808D3">
          <w:rPr>
            <w:rStyle w:val="Hipervnculo"/>
            <w:rFonts w:ascii="Arial" w:hAnsi="Arial" w:cs="Arial"/>
            <w:sz w:val="22"/>
            <w:szCs w:val="22"/>
            <w:lang w:val="en-US"/>
          </w:rPr>
          <w:t>https://doi.org/10.1016/j.bcab.2021.102009</w:t>
        </w:r>
      </w:hyperlink>
    </w:p>
    <w:p w14:paraId="5737A07A" w14:textId="240B2CDC" w:rsidR="003A3369" w:rsidRPr="007B4C1C" w:rsidRDefault="007B4C1C" w:rsidP="006A66A8">
      <w:pPr>
        <w:ind w:left="720" w:hanging="720"/>
        <w:jc w:val="both"/>
        <w:rPr>
          <w:rFonts w:ascii="Arial" w:hAnsi="Arial" w:cs="Arial"/>
          <w:sz w:val="22"/>
          <w:szCs w:val="22"/>
          <w:lang w:val="en-US"/>
        </w:rPr>
      </w:pPr>
      <w:r w:rsidRPr="00555447">
        <w:rPr>
          <w:rFonts w:ascii="Arial" w:hAnsi="Arial" w:cs="Arial"/>
          <w:color w:val="222222"/>
          <w:sz w:val="22"/>
          <w:szCs w:val="22"/>
          <w:shd w:val="clear" w:color="auto" w:fill="FFFFFF"/>
          <w:lang w:val="en-US"/>
        </w:rPr>
        <w:t>WIDDIG, M.</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SCHLEUSS, P. M.</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WEIG, A. R.</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GUHR, A.</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BIEDERMAN, L. A.</w:t>
      </w:r>
      <w:r>
        <w:rPr>
          <w:rFonts w:ascii="Arial" w:hAnsi="Arial" w:cs="Arial"/>
          <w:color w:val="222222"/>
          <w:sz w:val="22"/>
          <w:szCs w:val="22"/>
          <w:shd w:val="clear" w:color="auto" w:fill="FFFFFF"/>
          <w:lang w:val="en-US"/>
        </w:rPr>
        <w:t>;</w:t>
      </w:r>
      <w:r w:rsidRPr="00555447">
        <w:rPr>
          <w:rFonts w:ascii="Arial" w:hAnsi="Arial" w:cs="Arial"/>
          <w:color w:val="222222"/>
          <w:sz w:val="22"/>
          <w:szCs w:val="22"/>
          <w:shd w:val="clear" w:color="auto" w:fill="FFFFFF"/>
          <w:lang w:val="en-US"/>
        </w:rPr>
        <w:t xml:space="preserve"> BORER, E. T., ... SPOHN, M</w:t>
      </w:r>
      <w:r w:rsidR="003A3369" w:rsidRPr="00555447">
        <w:rPr>
          <w:rFonts w:ascii="Arial" w:hAnsi="Arial" w:cs="Arial"/>
          <w:color w:val="222222"/>
          <w:sz w:val="22"/>
          <w:szCs w:val="22"/>
          <w:shd w:val="clear" w:color="auto" w:fill="FFFFFF"/>
          <w:lang w:val="en-US"/>
        </w:rPr>
        <w:t>. Nitrogen and phosphorus additions alter the abundance of phosphorus-solubilizing bacteria and phosphatase activity in grassland soils.</w:t>
      </w:r>
      <w:r w:rsidR="003A3369" w:rsidRPr="00555447">
        <w:rPr>
          <w:rStyle w:val="apple-converted-space"/>
          <w:rFonts w:ascii="Arial" w:hAnsi="Arial" w:cs="Arial"/>
          <w:color w:val="222222"/>
          <w:sz w:val="22"/>
          <w:szCs w:val="22"/>
          <w:shd w:val="clear" w:color="auto" w:fill="FFFFFF"/>
          <w:lang w:val="en-US"/>
        </w:rPr>
        <w:t> </w:t>
      </w:r>
      <w:r w:rsidR="003A3369" w:rsidRPr="007B4C1C">
        <w:rPr>
          <w:rFonts w:ascii="Arial" w:hAnsi="Arial" w:cs="Arial"/>
          <w:color w:val="222222"/>
          <w:sz w:val="22"/>
          <w:szCs w:val="22"/>
          <w:lang w:val="en-US"/>
        </w:rPr>
        <w:t>Frontiers in Environmental Science</w:t>
      </w:r>
      <w:r w:rsidR="003A3369" w:rsidRPr="007B4C1C">
        <w:rPr>
          <w:rFonts w:ascii="Arial" w:hAnsi="Arial" w:cs="Arial"/>
          <w:color w:val="222222"/>
          <w:sz w:val="22"/>
          <w:szCs w:val="22"/>
          <w:shd w:val="clear" w:color="auto" w:fill="FFFFFF"/>
          <w:lang w:val="en-US"/>
        </w:rPr>
        <w:t>,</w:t>
      </w:r>
      <w:r w:rsidR="003A3369" w:rsidRPr="007B4C1C">
        <w:rPr>
          <w:rStyle w:val="apple-converted-space"/>
          <w:rFonts w:ascii="Arial" w:hAnsi="Arial" w:cs="Arial"/>
          <w:color w:val="222222"/>
          <w:sz w:val="22"/>
          <w:szCs w:val="22"/>
          <w:shd w:val="clear" w:color="auto" w:fill="FFFFFF"/>
          <w:lang w:val="en-US"/>
        </w:rPr>
        <w:t> </w:t>
      </w:r>
      <w:r w:rsidRPr="007B4C1C">
        <w:rPr>
          <w:rStyle w:val="apple-converted-space"/>
          <w:rFonts w:ascii="Arial" w:hAnsi="Arial" w:cs="Arial"/>
          <w:color w:val="222222"/>
          <w:sz w:val="22"/>
          <w:szCs w:val="22"/>
          <w:shd w:val="clear" w:color="auto" w:fill="FFFFFF"/>
          <w:lang w:val="en-US"/>
        </w:rPr>
        <w:t xml:space="preserve">v. </w:t>
      </w:r>
      <w:r w:rsidR="003A3369" w:rsidRPr="007B4C1C">
        <w:rPr>
          <w:rFonts w:ascii="Arial" w:hAnsi="Arial" w:cs="Arial"/>
          <w:color w:val="222222"/>
          <w:sz w:val="22"/>
          <w:szCs w:val="22"/>
          <w:lang w:val="en-US"/>
        </w:rPr>
        <w:t>7</w:t>
      </w:r>
      <w:r w:rsidR="003A3369" w:rsidRPr="007B4C1C">
        <w:rPr>
          <w:rFonts w:ascii="Arial" w:hAnsi="Arial" w:cs="Arial"/>
          <w:color w:val="222222"/>
          <w:sz w:val="22"/>
          <w:szCs w:val="22"/>
          <w:shd w:val="clear" w:color="auto" w:fill="FFFFFF"/>
          <w:lang w:val="en-US"/>
        </w:rPr>
        <w:t xml:space="preserve">, </w:t>
      </w:r>
      <w:r w:rsidRPr="007B4C1C">
        <w:rPr>
          <w:rFonts w:ascii="Arial" w:hAnsi="Arial" w:cs="Arial"/>
          <w:color w:val="222222"/>
          <w:sz w:val="22"/>
          <w:szCs w:val="22"/>
          <w:shd w:val="clear" w:color="auto" w:fill="FFFFFF"/>
          <w:lang w:val="en-US"/>
        </w:rPr>
        <w:t xml:space="preserve">2019. </w:t>
      </w:r>
      <w:r>
        <w:rPr>
          <w:rFonts w:ascii="Arial" w:hAnsi="Arial" w:cs="Arial"/>
          <w:color w:val="222222"/>
          <w:sz w:val="22"/>
          <w:szCs w:val="22"/>
          <w:shd w:val="clear" w:color="auto" w:fill="FFFFFF"/>
          <w:lang w:val="en-US"/>
        </w:rPr>
        <w:t xml:space="preserve">P. </w:t>
      </w:r>
      <w:r w:rsidR="003A3369" w:rsidRPr="007B4C1C">
        <w:rPr>
          <w:rFonts w:ascii="Arial" w:hAnsi="Arial" w:cs="Arial"/>
          <w:color w:val="222222"/>
          <w:sz w:val="22"/>
          <w:szCs w:val="22"/>
          <w:shd w:val="clear" w:color="auto" w:fill="FFFFFF"/>
          <w:lang w:val="en-US"/>
        </w:rPr>
        <w:t>185.</w:t>
      </w:r>
    </w:p>
    <w:p w14:paraId="12569A67" w14:textId="77777777" w:rsidR="003A3369" w:rsidRPr="003A3369" w:rsidRDefault="003A3369" w:rsidP="006A66A8">
      <w:pPr>
        <w:ind w:firstLine="720"/>
        <w:rPr>
          <w:rStyle w:val="Hipervnculo"/>
          <w:rFonts w:ascii="Arial" w:hAnsi="Arial" w:cs="Arial"/>
          <w:sz w:val="22"/>
          <w:szCs w:val="22"/>
          <w:lang w:val="en-US"/>
        </w:rPr>
      </w:pPr>
      <w:hyperlink r:id="rId39" w:history="1">
        <w:r w:rsidRPr="003A3369">
          <w:rPr>
            <w:rStyle w:val="Hipervnculo"/>
            <w:rFonts w:ascii="Arial" w:hAnsi="Arial" w:cs="Arial"/>
            <w:sz w:val="22"/>
            <w:szCs w:val="22"/>
            <w:lang w:val="en-US"/>
          </w:rPr>
          <w:t>https://doi.org/10.3389/fenvs.2019.00185</w:t>
        </w:r>
      </w:hyperlink>
    </w:p>
    <w:p w14:paraId="24BCEF6F" w14:textId="77777777" w:rsidR="003A3369" w:rsidRPr="007B4C1C" w:rsidRDefault="003A3369" w:rsidP="00D31A87">
      <w:pPr>
        <w:rPr>
          <w:rFonts w:ascii="Arial" w:hAnsi="Arial" w:cs="Arial"/>
          <w:sz w:val="22"/>
          <w:szCs w:val="22"/>
          <w:lang w:val="en-US"/>
        </w:rPr>
      </w:pPr>
    </w:p>
    <w:sectPr w:rsidR="003A3369" w:rsidRPr="007B4C1C" w:rsidSect="000529E1">
      <w:footerReference w:type="even" r:id="rId40"/>
      <w:footerReference w:type="default" r:id="rId41"/>
      <w:type w:val="continuous"/>
      <w:pgSz w:w="12240" w:h="15840"/>
      <w:pgMar w:top="1701" w:right="1418" w:bottom="1134"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8BE3" w14:textId="77777777" w:rsidR="002544AB" w:rsidRDefault="002544AB" w:rsidP="00031EF8">
      <w:r>
        <w:separator/>
      </w:r>
    </w:p>
  </w:endnote>
  <w:endnote w:type="continuationSeparator" w:id="0">
    <w:p w14:paraId="7330B3EF" w14:textId="77777777" w:rsidR="002544AB" w:rsidRDefault="002544AB" w:rsidP="0003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DD64" w14:textId="77777777" w:rsidR="00031EF8" w:rsidRDefault="00031EF8" w:rsidP="009D3E7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2DFD00" w14:textId="77777777" w:rsidR="00031EF8" w:rsidRDefault="00031EF8" w:rsidP="00031EF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930E" w14:textId="77777777" w:rsidR="00031EF8" w:rsidRDefault="00031EF8" w:rsidP="00031EF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DD3D" w14:textId="77777777" w:rsidR="002544AB" w:rsidRDefault="002544AB" w:rsidP="00031EF8">
      <w:r>
        <w:separator/>
      </w:r>
    </w:p>
  </w:footnote>
  <w:footnote w:type="continuationSeparator" w:id="0">
    <w:p w14:paraId="20E9E739" w14:textId="77777777" w:rsidR="002544AB" w:rsidRDefault="002544AB" w:rsidP="00031EF8">
      <w:r>
        <w:continuationSeparator/>
      </w:r>
    </w:p>
  </w:footnote>
  <w:footnote w:id="1">
    <w:p w14:paraId="5C6F3D48" w14:textId="25FDEC36" w:rsidR="004665B6" w:rsidRPr="004665B6" w:rsidRDefault="004665B6" w:rsidP="00656F30">
      <w:pPr>
        <w:widowControl w:val="0"/>
        <w:autoSpaceDE w:val="0"/>
        <w:autoSpaceDN w:val="0"/>
        <w:adjustRightInd w:val="0"/>
        <w:jc w:val="both"/>
        <w:rPr>
          <w:rFonts w:ascii="Arial" w:hAnsi="Arial" w:cs="Arial"/>
          <w:sz w:val="16"/>
          <w:szCs w:val="16"/>
        </w:rPr>
      </w:pPr>
      <w:r>
        <w:rPr>
          <w:rStyle w:val="Refdenotaalpie"/>
        </w:rPr>
        <w:footnoteRef/>
      </w:r>
      <w:r w:rsidRPr="004665B6">
        <w:t xml:space="preserve"> </w:t>
      </w:r>
      <w:r>
        <w:rPr>
          <w:rFonts w:ascii="Arial" w:hAnsi="Arial" w:cs="Arial"/>
          <w:sz w:val="16"/>
          <w:szCs w:val="16"/>
        </w:rPr>
        <w:t xml:space="preserve">Universidad Católica de Manizales. </w:t>
      </w:r>
      <w:r w:rsidRPr="00AE35A0">
        <w:rPr>
          <w:rFonts w:ascii="Arial" w:hAnsi="Arial" w:cs="Arial"/>
          <w:sz w:val="16"/>
          <w:szCs w:val="16"/>
        </w:rPr>
        <w:t xml:space="preserve">Instituto de Investigación en Microbiología y Biotecnología Agroindustrial. </w:t>
      </w:r>
      <w:proofErr w:type="spellStart"/>
      <w:r>
        <w:rPr>
          <w:rFonts w:ascii="Arial" w:hAnsi="Arial" w:cs="Arial"/>
          <w:sz w:val="16"/>
          <w:szCs w:val="16"/>
        </w:rPr>
        <w:t>Ph.D</w:t>
      </w:r>
      <w:proofErr w:type="spellEnd"/>
      <w:r>
        <w:rPr>
          <w:rFonts w:ascii="Arial" w:hAnsi="Arial" w:cs="Arial"/>
          <w:sz w:val="16"/>
          <w:szCs w:val="16"/>
        </w:rPr>
        <w:t xml:space="preserve">. Ciencias Agrarias. </w:t>
      </w:r>
      <w:r w:rsidRPr="00AE35A0">
        <w:rPr>
          <w:rFonts w:ascii="Arial" w:hAnsi="Arial" w:cs="Arial"/>
          <w:sz w:val="16"/>
          <w:szCs w:val="16"/>
        </w:rPr>
        <w:t>Manizales, Colombia</w:t>
      </w:r>
      <w:r>
        <w:rPr>
          <w:rFonts w:ascii="Arial" w:hAnsi="Arial" w:cs="Arial"/>
          <w:sz w:val="16"/>
          <w:szCs w:val="16"/>
        </w:rPr>
        <w:t xml:space="preserve">. </w:t>
      </w:r>
      <w:r w:rsidR="002544AB">
        <w:fldChar w:fldCharType="begin"/>
      </w:r>
      <w:r w:rsidR="002544AB" w:rsidRPr="00306F2E">
        <w:instrText xml:space="preserve"> HYPERLINK "https://orcid.org/0000-0003-0443-0369" </w:instrText>
      </w:r>
      <w:r w:rsidR="002544AB">
        <w:fldChar w:fldCharType="separate"/>
      </w:r>
      <w:r w:rsidRPr="006A5BFC">
        <w:rPr>
          <w:rStyle w:val="Hipervnculo"/>
          <w:rFonts w:ascii="Arial" w:hAnsi="Arial" w:cs="Arial"/>
          <w:sz w:val="16"/>
          <w:szCs w:val="16"/>
        </w:rPr>
        <w:t>https://orcid.org/0000-0003-0443-0369</w:t>
      </w:r>
      <w:r w:rsidR="002544AB">
        <w:rPr>
          <w:rStyle w:val="Hipervnculo"/>
          <w:rFonts w:ascii="Arial" w:hAnsi="Arial" w:cs="Arial"/>
          <w:sz w:val="16"/>
          <w:szCs w:val="16"/>
        </w:rPr>
        <w:fldChar w:fldCharType="end"/>
      </w:r>
    </w:p>
  </w:footnote>
  <w:footnote w:id="2">
    <w:p w14:paraId="3F79FBDD" w14:textId="477599A0" w:rsidR="004665B6" w:rsidRPr="001D4BE6" w:rsidRDefault="004665B6" w:rsidP="00656F30">
      <w:pPr>
        <w:widowControl w:val="0"/>
        <w:autoSpaceDE w:val="0"/>
        <w:autoSpaceDN w:val="0"/>
        <w:adjustRightInd w:val="0"/>
        <w:jc w:val="both"/>
        <w:rPr>
          <w:rFonts w:ascii="Arial" w:hAnsi="Arial" w:cs="Arial"/>
          <w:color w:val="FF0000"/>
          <w:sz w:val="16"/>
          <w:szCs w:val="16"/>
        </w:rPr>
      </w:pPr>
      <w:r>
        <w:rPr>
          <w:rStyle w:val="Refdenotaalpie"/>
        </w:rPr>
        <w:footnoteRef/>
      </w:r>
      <w:r w:rsidRPr="00EA15E6">
        <w:t xml:space="preserve"> </w:t>
      </w:r>
      <w:r w:rsidR="00EA15E6">
        <w:rPr>
          <w:rFonts w:ascii="Arial" w:hAnsi="Arial" w:cs="Arial"/>
          <w:sz w:val="16"/>
          <w:szCs w:val="16"/>
        </w:rPr>
        <w:t xml:space="preserve">Universidad Católica de Manizales. </w:t>
      </w:r>
      <w:r w:rsidR="00EA15E6" w:rsidRPr="00AE35A0">
        <w:rPr>
          <w:rFonts w:ascii="Arial" w:hAnsi="Arial" w:cs="Arial"/>
          <w:sz w:val="16"/>
          <w:szCs w:val="16"/>
        </w:rPr>
        <w:t xml:space="preserve">Instituto de Investigación en Microbiología y Biotecnología Agroindustrial. </w:t>
      </w:r>
      <w:r w:rsidR="00EA15E6">
        <w:rPr>
          <w:rFonts w:ascii="Arial" w:hAnsi="Arial" w:cs="Arial"/>
          <w:sz w:val="16"/>
          <w:szCs w:val="16"/>
        </w:rPr>
        <w:t xml:space="preserve">Esp. Microbiología industrial. </w:t>
      </w:r>
      <w:r w:rsidR="00EA15E6" w:rsidRPr="00AE35A0">
        <w:rPr>
          <w:rFonts w:ascii="Arial" w:hAnsi="Arial" w:cs="Arial"/>
          <w:sz w:val="16"/>
          <w:szCs w:val="16"/>
        </w:rPr>
        <w:t>Manizales, Colombia</w:t>
      </w:r>
      <w:r w:rsidR="00EA15E6">
        <w:rPr>
          <w:rFonts w:ascii="Arial" w:hAnsi="Arial" w:cs="Arial"/>
          <w:sz w:val="16"/>
          <w:szCs w:val="16"/>
        </w:rPr>
        <w:t xml:space="preserve">. </w:t>
      </w:r>
    </w:p>
  </w:footnote>
  <w:footnote w:id="3">
    <w:p w14:paraId="1438FC1F" w14:textId="4465CA94" w:rsidR="00EA15E6" w:rsidRPr="00EA15E6" w:rsidRDefault="004665B6" w:rsidP="00656F30">
      <w:pPr>
        <w:widowControl w:val="0"/>
        <w:autoSpaceDE w:val="0"/>
        <w:autoSpaceDN w:val="0"/>
        <w:adjustRightInd w:val="0"/>
        <w:jc w:val="both"/>
        <w:rPr>
          <w:rFonts w:ascii="Arial" w:hAnsi="Arial" w:cs="Arial"/>
          <w:sz w:val="16"/>
          <w:szCs w:val="16"/>
        </w:rPr>
      </w:pPr>
      <w:r>
        <w:rPr>
          <w:rStyle w:val="Refdenotaalpie"/>
        </w:rPr>
        <w:footnoteRef/>
      </w:r>
      <w:r w:rsidRPr="00EA15E6">
        <w:t xml:space="preserve"> </w:t>
      </w:r>
      <w:r w:rsidR="00EA15E6">
        <w:rPr>
          <w:rFonts w:ascii="Arial" w:hAnsi="Arial" w:cs="Arial"/>
          <w:sz w:val="16"/>
          <w:szCs w:val="16"/>
        </w:rPr>
        <w:t xml:space="preserve">Universidad </w:t>
      </w:r>
      <w:r w:rsidR="00560D2D">
        <w:rPr>
          <w:rFonts w:ascii="Arial" w:hAnsi="Arial" w:cs="Arial"/>
          <w:sz w:val="16"/>
          <w:szCs w:val="16"/>
        </w:rPr>
        <w:t>Nacional de Colombia</w:t>
      </w:r>
      <w:r w:rsidR="00EA15E6" w:rsidRPr="00AE35A0">
        <w:rPr>
          <w:rFonts w:ascii="Arial" w:hAnsi="Arial" w:cs="Arial"/>
          <w:sz w:val="16"/>
          <w:szCs w:val="16"/>
        </w:rPr>
        <w:t xml:space="preserve">. </w:t>
      </w:r>
      <w:r w:rsidR="00EA15E6">
        <w:rPr>
          <w:rFonts w:ascii="Arial" w:hAnsi="Arial" w:cs="Arial"/>
          <w:sz w:val="16"/>
          <w:szCs w:val="16"/>
        </w:rPr>
        <w:t xml:space="preserve">Esp. Microbiología industrial. </w:t>
      </w:r>
      <w:r w:rsidR="00EA15E6" w:rsidRPr="00AE35A0">
        <w:rPr>
          <w:rFonts w:ascii="Arial" w:hAnsi="Arial" w:cs="Arial"/>
          <w:sz w:val="16"/>
          <w:szCs w:val="16"/>
        </w:rPr>
        <w:t>Manizales, Colombia</w:t>
      </w:r>
      <w:r w:rsidR="00EA15E6">
        <w:rPr>
          <w:rFonts w:ascii="Arial" w:hAnsi="Arial" w:cs="Arial"/>
          <w:sz w:val="16"/>
          <w:szCs w:val="16"/>
        </w:rPr>
        <w:t xml:space="preserve">. </w:t>
      </w:r>
      <w:r w:rsidR="00EA15E6" w:rsidRPr="00240018">
        <w:rPr>
          <w:rStyle w:val="Hipervnculo"/>
          <w:rFonts w:ascii="Arial" w:hAnsi="Arial" w:cs="Arial"/>
          <w:sz w:val="16"/>
          <w:szCs w:val="16"/>
        </w:rPr>
        <w:t>https://orcid.org/0000-0002-8337-2824</w:t>
      </w:r>
    </w:p>
  </w:footnote>
  <w:footnote w:id="4">
    <w:p w14:paraId="4C0346A8" w14:textId="77777777" w:rsidR="00634F65" w:rsidRDefault="004665B6" w:rsidP="00656F30">
      <w:pPr>
        <w:widowControl w:val="0"/>
        <w:autoSpaceDE w:val="0"/>
        <w:autoSpaceDN w:val="0"/>
        <w:adjustRightInd w:val="0"/>
        <w:jc w:val="both"/>
        <w:rPr>
          <w:rFonts w:ascii="Arial" w:hAnsi="Arial" w:cs="Arial"/>
          <w:sz w:val="16"/>
          <w:szCs w:val="16"/>
        </w:rPr>
      </w:pPr>
      <w:r>
        <w:rPr>
          <w:rStyle w:val="Refdenotaalpie"/>
        </w:rPr>
        <w:footnoteRef/>
      </w:r>
      <w:r w:rsidRPr="00240018">
        <w:t xml:space="preserve"> </w:t>
      </w:r>
      <w:r w:rsidR="00240018">
        <w:rPr>
          <w:rFonts w:ascii="Arial" w:hAnsi="Arial" w:cs="Arial"/>
          <w:sz w:val="16"/>
          <w:szCs w:val="16"/>
        </w:rPr>
        <w:t xml:space="preserve">Universidad de Caldas. </w:t>
      </w:r>
      <w:proofErr w:type="spellStart"/>
      <w:r w:rsidR="00240018" w:rsidRPr="00AE35A0">
        <w:rPr>
          <w:rFonts w:ascii="Arial" w:hAnsi="Arial" w:cs="Arial"/>
          <w:sz w:val="16"/>
          <w:szCs w:val="16"/>
        </w:rPr>
        <w:t>Department</w:t>
      </w:r>
      <w:proofErr w:type="spellEnd"/>
      <w:r w:rsidR="00240018" w:rsidRPr="00AE35A0">
        <w:rPr>
          <w:rFonts w:ascii="Arial" w:hAnsi="Arial" w:cs="Arial"/>
          <w:sz w:val="16"/>
          <w:szCs w:val="16"/>
        </w:rPr>
        <w:t xml:space="preserve"> of </w:t>
      </w:r>
      <w:proofErr w:type="spellStart"/>
      <w:r w:rsidR="00240018" w:rsidRPr="00AE35A0">
        <w:rPr>
          <w:rFonts w:ascii="Arial" w:hAnsi="Arial" w:cs="Arial"/>
          <w:sz w:val="16"/>
          <w:szCs w:val="16"/>
        </w:rPr>
        <w:t>Agricultural</w:t>
      </w:r>
      <w:proofErr w:type="spellEnd"/>
      <w:r w:rsidR="00240018" w:rsidRPr="00AE35A0">
        <w:rPr>
          <w:rFonts w:ascii="Arial" w:hAnsi="Arial" w:cs="Arial"/>
          <w:sz w:val="16"/>
          <w:szCs w:val="16"/>
        </w:rPr>
        <w:t xml:space="preserve"> </w:t>
      </w:r>
      <w:proofErr w:type="spellStart"/>
      <w:r w:rsidR="00240018" w:rsidRPr="00AE35A0">
        <w:rPr>
          <w:rFonts w:ascii="Arial" w:hAnsi="Arial" w:cs="Arial"/>
          <w:sz w:val="16"/>
          <w:szCs w:val="16"/>
        </w:rPr>
        <w:t>Production</w:t>
      </w:r>
      <w:proofErr w:type="spellEnd"/>
      <w:r w:rsidR="00240018" w:rsidRPr="00AE35A0">
        <w:rPr>
          <w:rFonts w:ascii="Arial" w:hAnsi="Arial" w:cs="Arial"/>
          <w:sz w:val="16"/>
          <w:szCs w:val="16"/>
        </w:rPr>
        <w:t xml:space="preserve">. </w:t>
      </w:r>
      <w:proofErr w:type="spellStart"/>
      <w:r w:rsidR="00240018" w:rsidRPr="000D7B91">
        <w:rPr>
          <w:rFonts w:ascii="Arial" w:hAnsi="Arial" w:cs="Arial"/>
          <w:sz w:val="16"/>
          <w:szCs w:val="16"/>
        </w:rPr>
        <w:t>Ph.D</w:t>
      </w:r>
      <w:proofErr w:type="spellEnd"/>
      <w:r w:rsidR="00240018" w:rsidRPr="000D7B91">
        <w:rPr>
          <w:rFonts w:ascii="Arial" w:hAnsi="Arial" w:cs="Arial"/>
          <w:sz w:val="16"/>
          <w:szCs w:val="16"/>
        </w:rPr>
        <w:t xml:space="preserve">. Ciencias Agrarias. </w:t>
      </w:r>
      <w:r w:rsidR="00240018" w:rsidRPr="00A81FF8">
        <w:rPr>
          <w:rFonts w:ascii="Arial" w:hAnsi="Arial" w:cs="Arial"/>
          <w:sz w:val="16"/>
          <w:szCs w:val="16"/>
        </w:rPr>
        <w:t>Manizales, Colombia</w:t>
      </w:r>
      <w:r w:rsidR="00634F65">
        <w:rPr>
          <w:rFonts w:ascii="Arial" w:hAnsi="Arial" w:cs="Arial"/>
          <w:sz w:val="16"/>
          <w:szCs w:val="16"/>
        </w:rPr>
        <w:t>.</w:t>
      </w:r>
    </w:p>
    <w:p w14:paraId="334EBF0D" w14:textId="1273ACE2" w:rsidR="00634F65" w:rsidRPr="00240018" w:rsidRDefault="00634F65" w:rsidP="00240018">
      <w:pPr>
        <w:widowControl w:val="0"/>
        <w:autoSpaceDE w:val="0"/>
        <w:autoSpaceDN w:val="0"/>
        <w:adjustRightInd w:val="0"/>
        <w:rPr>
          <w:rFonts w:ascii="Arial" w:hAnsi="Arial" w:cs="Arial"/>
          <w:sz w:val="16"/>
          <w:szCs w:val="16"/>
        </w:rPr>
      </w:pPr>
      <w:r>
        <w:rPr>
          <w:rFonts w:ascii="Arial" w:hAnsi="Arial" w:cs="Arial"/>
          <w:sz w:val="16"/>
          <w:szCs w:val="16"/>
        </w:rPr>
        <w:t>https://orcid.org/</w:t>
      </w:r>
      <w:r w:rsidRPr="00656F30">
        <w:rPr>
          <w:rStyle w:val="Hipervnculo"/>
          <w:rFonts w:ascii="Arial" w:hAnsi="Arial" w:cs="Arial"/>
          <w:sz w:val="16"/>
          <w:szCs w:val="16"/>
        </w:rPr>
        <w:t>0000-0002-8463-3379</w:t>
      </w:r>
    </w:p>
  </w:footnote>
  <w:footnote w:id="5">
    <w:p w14:paraId="7B9AB25C" w14:textId="3922EDF0" w:rsidR="004665B6" w:rsidRPr="00634F65" w:rsidRDefault="004665B6" w:rsidP="00656F30">
      <w:pPr>
        <w:jc w:val="both"/>
      </w:pPr>
      <w:r>
        <w:rPr>
          <w:rStyle w:val="Refdenotaalpie"/>
        </w:rPr>
        <w:footnoteRef/>
      </w:r>
      <w:r w:rsidRPr="00240018">
        <w:t xml:space="preserve"> </w:t>
      </w:r>
      <w:r w:rsidR="00634F65" w:rsidRPr="00A81FF8">
        <w:rPr>
          <w:rFonts w:ascii="Arial" w:hAnsi="Arial" w:cs="Arial"/>
          <w:sz w:val="16"/>
          <w:szCs w:val="16"/>
        </w:rPr>
        <w:t xml:space="preserve">Universidad de La Habana. </w:t>
      </w:r>
      <w:r w:rsidR="00634F65" w:rsidRPr="00656F30">
        <w:rPr>
          <w:rFonts w:ascii="Arial" w:hAnsi="Arial" w:cs="Arial"/>
          <w:sz w:val="16"/>
          <w:szCs w:val="16"/>
          <w:lang w:val="en-US"/>
        </w:rPr>
        <w:t xml:space="preserve">Department of Microbiology and Virology. </w:t>
      </w:r>
      <w:proofErr w:type="spellStart"/>
      <w:r w:rsidR="00634F65" w:rsidRPr="00634F65">
        <w:rPr>
          <w:rFonts w:ascii="Arial" w:hAnsi="Arial" w:cs="Arial"/>
          <w:sz w:val="16"/>
          <w:szCs w:val="16"/>
        </w:rPr>
        <w:t>Faculty</w:t>
      </w:r>
      <w:proofErr w:type="spellEnd"/>
      <w:r w:rsidR="00634F65" w:rsidRPr="00634F65">
        <w:rPr>
          <w:rFonts w:ascii="Arial" w:hAnsi="Arial" w:cs="Arial"/>
          <w:sz w:val="16"/>
          <w:szCs w:val="16"/>
        </w:rPr>
        <w:t xml:space="preserve"> of </w:t>
      </w:r>
      <w:proofErr w:type="spellStart"/>
      <w:r w:rsidR="00634F65" w:rsidRPr="00634F65">
        <w:rPr>
          <w:rFonts w:ascii="Arial" w:hAnsi="Arial" w:cs="Arial"/>
          <w:sz w:val="16"/>
          <w:szCs w:val="16"/>
        </w:rPr>
        <w:t>Biology</w:t>
      </w:r>
      <w:proofErr w:type="spellEnd"/>
      <w:r w:rsidR="00634F65" w:rsidRPr="00634F65">
        <w:rPr>
          <w:rFonts w:ascii="Arial" w:hAnsi="Arial" w:cs="Arial"/>
          <w:sz w:val="16"/>
          <w:szCs w:val="16"/>
        </w:rPr>
        <w:t xml:space="preserve">. </w:t>
      </w:r>
      <w:r w:rsidR="00634F65" w:rsidRPr="00AE35A0">
        <w:rPr>
          <w:rFonts w:ascii="Arial" w:hAnsi="Arial" w:cs="Arial"/>
          <w:sz w:val="16"/>
          <w:szCs w:val="16"/>
        </w:rPr>
        <w:t>La Habana, Cuba</w:t>
      </w:r>
      <w:r w:rsidR="00634F65">
        <w:rPr>
          <w:rFonts w:ascii="Arial" w:hAnsi="Arial" w:cs="Arial"/>
          <w:sz w:val="16"/>
          <w:szCs w:val="16"/>
        </w:rPr>
        <w:t xml:space="preserve">. </w:t>
      </w:r>
      <w:hyperlink r:id="rId1" w:tgtFrame="_blank" w:history="1">
        <w:r w:rsidR="00634F65" w:rsidRPr="00A03A02">
          <w:rPr>
            <w:rStyle w:val="Hipervnculo"/>
            <w:rFonts w:ascii="Arial" w:hAnsi="Arial" w:cs="Arial"/>
            <w:sz w:val="16"/>
            <w:szCs w:val="16"/>
          </w:rPr>
          <w:t>https://orcid.org/0000-0002-0471-3089</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75"/>
    <w:rsid w:val="0001207D"/>
    <w:rsid w:val="00012F9F"/>
    <w:rsid w:val="00015005"/>
    <w:rsid w:val="00027148"/>
    <w:rsid w:val="000279A4"/>
    <w:rsid w:val="00031EF8"/>
    <w:rsid w:val="0003661B"/>
    <w:rsid w:val="00044813"/>
    <w:rsid w:val="00046663"/>
    <w:rsid w:val="0005029A"/>
    <w:rsid w:val="00050884"/>
    <w:rsid w:val="000516E2"/>
    <w:rsid w:val="000529E1"/>
    <w:rsid w:val="00054622"/>
    <w:rsid w:val="00062192"/>
    <w:rsid w:val="000665A8"/>
    <w:rsid w:val="00067692"/>
    <w:rsid w:val="000756EE"/>
    <w:rsid w:val="00090DA5"/>
    <w:rsid w:val="00093D42"/>
    <w:rsid w:val="00096152"/>
    <w:rsid w:val="00096B5D"/>
    <w:rsid w:val="000A3C83"/>
    <w:rsid w:val="000B51D8"/>
    <w:rsid w:val="000B768F"/>
    <w:rsid w:val="000C6D9A"/>
    <w:rsid w:val="000C7C31"/>
    <w:rsid w:val="000D15E1"/>
    <w:rsid w:val="000D7B91"/>
    <w:rsid w:val="000E22EB"/>
    <w:rsid w:val="000E2D4A"/>
    <w:rsid w:val="000E2DE5"/>
    <w:rsid w:val="000E458F"/>
    <w:rsid w:val="000E625A"/>
    <w:rsid w:val="000E7723"/>
    <w:rsid w:val="000F1BD1"/>
    <w:rsid w:val="000F266E"/>
    <w:rsid w:val="000F5680"/>
    <w:rsid w:val="000F77EA"/>
    <w:rsid w:val="00104AA8"/>
    <w:rsid w:val="00107E47"/>
    <w:rsid w:val="00112471"/>
    <w:rsid w:val="00114D71"/>
    <w:rsid w:val="00124A41"/>
    <w:rsid w:val="00130BEF"/>
    <w:rsid w:val="00132C13"/>
    <w:rsid w:val="001359E3"/>
    <w:rsid w:val="0014289F"/>
    <w:rsid w:val="00146486"/>
    <w:rsid w:val="00147D34"/>
    <w:rsid w:val="001522A6"/>
    <w:rsid w:val="001573B2"/>
    <w:rsid w:val="00164764"/>
    <w:rsid w:val="00172FAE"/>
    <w:rsid w:val="00173B4E"/>
    <w:rsid w:val="001740DD"/>
    <w:rsid w:val="00181E79"/>
    <w:rsid w:val="001821C8"/>
    <w:rsid w:val="00184FAB"/>
    <w:rsid w:val="00191962"/>
    <w:rsid w:val="00196ADC"/>
    <w:rsid w:val="001A7D89"/>
    <w:rsid w:val="001B5BF0"/>
    <w:rsid w:val="001C287F"/>
    <w:rsid w:val="001C44C8"/>
    <w:rsid w:val="001D2261"/>
    <w:rsid w:val="001D38FB"/>
    <w:rsid w:val="001D3E24"/>
    <w:rsid w:val="001D4BE6"/>
    <w:rsid w:val="001D5857"/>
    <w:rsid w:val="001E5265"/>
    <w:rsid w:val="001E5B29"/>
    <w:rsid w:val="001F0F3D"/>
    <w:rsid w:val="001F2AEC"/>
    <w:rsid w:val="001F52C8"/>
    <w:rsid w:val="001F5E2F"/>
    <w:rsid w:val="001F7302"/>
    <w:rsid w:val="002004D2"/>
    <w:rsid w:val="002143BC"/>
    <w:rsid w:val="00214DBD"/>
    <w:rsid w:val="00223801"/>
    <w:rsid w:val="0022405F"/>
    <w:rsid w:val="00226AC3"/>
    <w:rsid w:val="00231781"/>
    <w:rsid w:val="00231DF2"/>
    <w:rsid w:val="00232637"/>
    <w:rsid w:val="002327C8"/>
    <w:rsid w:val="00232A72"/>
    <w:rsid w:val="002356D0"/>
    <w:rsid w:val="00237B74"/>
    <w:rsid w:val="00240018"/>
    <w:rsid w:val="00241D09"/>
    <w:rsid w:val="002465F8"/>
    <w:rsid w:val="00253490"/>
    <w:rsid w:val="002544AB"/>
    <w:rsid w:val="00254CBA"/>
    <w:rsid w:val="0025720E"/>
    <w:rsid w:val="00266F97"/>
    <w:rsid w:val="00273C9D"/>
    <w:rsid w:val="00274B80"/>
    <w:rsid w:val="00281129"/>
    <w:rsid w:val="00282BDE"/>
    <w:rsid w:val="00287F11"/>
    <w:rsid w:val="002926EE"/>
    <w:rsid w:val="002A196D"/>
    <w:rsid w:val="002A328A"/>
    <w:rsid w:val="002A5DB3"/>
    <w:rsid w:val="002A6983"/>
    <w:rsid w:val="002B6F68"/>
    <w:rsid w:val="002C06CA"/>
    <w:rsid w:val="002C43B9"/>
    <w:rsid w:val="002C6A02"/>
    <w:rsid w:val="002C6D93"/>
    <w:rsid w:val="002D3C47"/>
    <w:rsid w:val="002D6F01"/>
    <w:rsid w:val="002E09F2"/>
    <w:rsid w:val="002F011C"/>
    <w:rsid w:val="002F50B0"/>
    <w:rsid w:val="002F6BBD"/>
    <w:rsid w:val="00302354"/>
    <w:rsid w:val="00302B43"/>
    <w:rsid w:val="0030380F"/>
    <w:rsid w:val="00305D23"/>
    <w:rsid w:val="00306F2E"/>
    <w:rsid w:val="00312FFB"/>
    <w:rsid w:val="003148D1"/>
    <w:rsid w:val="00326C81"/>
    <w:rsid w:val="00341758"/>
    <w:rsid w:val="00342D3C"/>
    <w:rsid w:val="00345B50"/>
    <w:rsid w:val="00347BFE"/>
    <w:rsid w:val="00353C2B"/>
    <w:rsid w:val="00365344"/>
    <w:rsid w:val="00366E06"/>
    <w:rsid w:val="00367B72"/>
    <w:rsid w:val="003808D3"/>
    <w:rsid w:val="00381308"/>
    <w:rsid w:val="00382322"/>
    <w:rsid w:val="00385F20"/>
    <w:rsid w:val="003906BC"/>
    <w:rsid w:val="003A3369"/>
    <w:rsid w:val="003A35BF"/>
    <w:rsid w:val="003B035E"/>
    <w:rsid w:val="003B6532"/>
    <w:rsid w:val="003C2C5B"/>
    <w:rsid w:val="003C3CAA"/>
    <w:rsid w:val="003E101E"/>
    <w:rsid w:val="003E21F0"/>
    <w:rsid w:val="003E78ED"/>
    <w:rsid w:val="00403C0E"/>
    <w:rsid w:val="004046B4"/>
    <w:rsid w:val="00405D1F"/>
    <w:rsid w:val="00406A50"/>
    <w:rsid w:val="00413602"/>
    <w:rsid w:val="004167CD"/>
    <w:rsid w:val="004224FA"/>
    <w:rsid w:val="00430948"/>
    <w:rsid w:val="004448FD"/>
    <w:rsid w:val="00446E7D"/>
    <w:rsid w:val="00452897"/>
    <w:rsid w:val="004578EA"/>
    <w:rsid w:val="004608A0"/>
    <w:rsid w:val="00464720"/>
    <w:rsid w:val="004665B6"/>
    <w:rsid w:val="0047176A"/>
    <w:rsid w:val="00471845"/>
    <w:rsid w:val="00471DE0"/>
    <w:rsid w:val="00471FF3"/>
    <w:rsid w:val="0047545A"/>
    <w:rsid w:val="004942CE"/>
    <w:rsid w:val="004A4A5A"/>
    <w:rsid w:val="004A648D"/>
    <w:rsid w:val="004B2289"/>
    <w:rsid w:val="004B4F63"/>
    <w:rsid w:val="004B5E52"/>
    <w:rsid w:val="004B7A7B"/>
    <w:rsid w:val="004C27D4"/>
    <w:rsid w:val="004D2034"/>
    <w:rsid w:val="004D3875"/>
    <w:rsid w:val="004D5D7E"/>
    <w:rsid w:val="004D700B"/>
    <w:rsid w:val="004E2F5E"/>
    <w:rsid w:val="004E66E1"/>
    <w:rsid w:val="004F28FB"/>
    <w:rsid w:val="004F353D"/>
    <w:rsid w:val="0050257D"/>
    <w:rsid w:val="00503FD6"/>
    <w:rsid w:val="00511A6B"/>
    <w:rsid w:val="00514B17"/>
    <w:rsid w:val="0051535E"/>
    <w:rsid w:val="00515F5D"/>
    <w:rsid w:val="005301B3"/>
    <w:rsid w:val="00531BAB"/>
    <w:rsid w:val="005324C9"/>
    <w:rsid w:val="00532EA1"/>
    <w:rsid w:val="005342FA"/>
    <w:rsid w:val="0053766D"/>
    <w:rsid w:val="005416C1"/>
    <w:rsid w:val="00544298"/>
    <w:rsid w:val="00545CDE"/>
    <w:rsid w:val="00551406"/>
    <w:rsid w:val="00552393"/>
    <w:rsid w:val="00553FC0"/>
    <w:rsid w:val="00555447"/>
    <w:rsid w:val="00560D2D"/>
    <w:rsid w:val="00561B33"/>
    <w:rsid w:val="005645DC"/>
    <w:rsid w:val="00572A40"/>
    <w:rsid w:val="00573A86"/>
    <w:rsid w:val="00591ED0"/>
    <w:rsid w:val="005A634B"/>
    <w:rsid w:val="005B03C1"/>
    <w:rsid w:val="005B0C84"/>
    <w:rsid w:val="005B2DA2"/>
    <w:rsid w:val="005B2E9D"/>
    <w:rsid w:val="005B6E7D"/>
    <w:rsid w:val="005C1AB7"/>
    <w:rsid w:val="005C350C"/>
    <w:rsid w:val="005C5C24"/>
    <w:rsid w:val="005C6F66"/>
    <w:rsid w:val="005E0AC1"/>
    <w:rsid w:val="005E1089"/>
    <w:rsid w:val="005E235F"/>
    <w:rsid w:val="005E3F56"/>
    <w:rsid w:val="005E488B"/>
    <w:rsid w:val="005E5866"/>
    <w:rsid w:val="005F196E"/>
    <w:rsid w:val="005F1FBB"/>
    <w:rsid w:val="00600C07"/>
    <w:rsid w:val="00602E7D"/>
    <w:rsid w:val="00606532"/>
    <w:rsid w:val="00611E19"/>
    <w:rsid w:val="00613B62"/>
    <w:rsid w:val="00615FAB"/>
    <w:rsid w:val="006206A4"/>
    <w:rsid w:val="00620A7C"/>
    <w:rsid w:val="00621CAE"/>
    <w:rsid w:val="00623D9F"/>
    <w:rsid w:val="00631A21"/>
    <w:rsid w:val="00634F65"/>
    <w:rsid w:val="00635E5E"/>
    <w:rsid w:val="00636DFD"/>
    <w:rsid w:val="00637EC5"/>
    <w:rsid w:val="0064060C"/>
    <w:rsid w:val="00642333"/>
    <w:rsid w:val="00645B2C"/>
    <w:rsid w:val="00656F30"/>
    <w:rsid w:val="00666898"/>
    <w:rsid w:val="00666EDE"/>
    <w:rsid w:val="00667D0B"/>
    <w:rsid w:val="006718E7"/>
    <w:rsid w:val="00672177"/>
    <w:rsid w:val="00673FF0"/>
    <w:rsid w:val="00674C7C"/>
    <w:rsid w:val="00676E9C"/>
    <w:rsid w:val="0068496A"/>
    <w:rsid w:val="00686C05"/>
    <w:rsid w:val="00690ADA"/>
    <w:rsid w:val="00693136"/>
    <w:rsid w:val="006A66A8"/>
    <w:rsid w:val="006A75C1"/>
    <w:rsid w:val="006B2557"/>
    <w:rsid w:val="006C06A0"/>
    <w:rsid w:val="006C0A5D"/>
    <w:rsid w:val="006C522E"/>
    <w:rsid w:val="006C661A"/>
    <w:rsid w:val="006D154A"/>
    <w:rsid w:val="006D4549"/>
    <w:rsid w:val="006D5A6D"/>
    <w:rsid w:val="006E2084"/>
    <w:rsid w:val="006F4F9E"/>
    <w:rsid w:val="006F586B"/>
    <w:rsid w:val="006F72F6"/>
    <w:rsid w:val="006F7D52"/>
    <w:rsid w:val="00700535"/>
    <w:rsid w:val="00704C13"/>
    <w:rsid w:val="0070746A"/>
    <w:rsid w:val="00712DB7"/>
    <w:rsid w:val="0072119D"/>
    <w:rsid w:val="00723392"/>
    <w:rsid w:val="007308EA"/>
    <w:rsid w:val="00733F4E"/>
    <w:rsid w:val="007353B9"/>
    <w:rsid w:val="00742263"/>
    <w:rsid w:val="00743D32"/>
    <w:rsid w:val="00745CD5"/>
    <w:rsid w:val="007518BA"/>
    <w:rsid w:val="00752954"/>
    <w:rsid w:val="00772DF4"/>
    <w:rsid w:val="0077305F"/>
    <w:rsid w:val="00784CB8"/>
    <w:rsid w:val="007851C4"/>
    <w:rsid w:val="007950D2"/>
    <w:rsid w:val="007A06C2"/>
    <w:rsid w:val="007A132F"/>
    <w:rsid w:val="007A139F"/>
    <w:rsid w:val="007A261A"/>
    <w:rsid w:val="007A4903"/>
    <w:rsid w:val="007A7130"/>
    <w:rsid w:val="007B4C1C"/>
    <w:rsid w:val="007B6209"/>
    <w:rsid w:val="007B7660"/>
    <w:rsid w:val="007C02AB"/>
    <w:rsid w:val="007D6DBE"/>
    <w:rsid w:val="007D6EDF"/>
    <w:rsid w:val="007E29AF"/>
    <w:rsid w:val="007E6810"/>
    <w:rsid w:val="007F199A"/>
    <w:rsid w:val="007F7980"/>
    <w:rsid w:val="007F7A8F"/>
    <w:rsid w:val="00816FFB"/>
    <w:rsid w:val="008202C5"/>
    <w:rsid w:val="00821098"/>
    <w:rsid w:val="008220E2"/>
    <w:rsid w:val="008228B1"/>
    <w:rsid w:val="00823C60"/>
    <w:rsid w:val="00826A8F"/>
    <w:rsid w:val="00834261"/>
    <w:rsid w:val="00835670"/>
    <w:rsid w:val="008358A4"/>
    <w:rsid w:val="00837E00"/>
    <w:rsid w:val="00841A08"/>
    <w:rsid w:val="008548DC"/>
    <w:rsid w:val="00854FCC"/>
    <w:rsid w:val="00857ABC"/>
    <w:rsid w:val="0086020F"/>
    <w:rsid w:val="00860841"/>
    <w:rsid w:val="00863815"/>
    <w:rsid w:val="00863FE1"/>
    <w:rsid w:val="0087636D"/>
    <w:rsid w:val="00884073"/>
    <w:rsid w:val="008855D9"/>
    <w:rsid w:val="00895FC2"/>
    <w:rsid w:val="008A107B"/>
    <w:rsid w:val="008A1AF6"/>
    <w:rsid w:val="008A29B0"/>
    <w:rsid w:val="008A431B"/>
    <w:rsid w:val="008A7E98"/>
    <w:rsid w:val="008B2C23"/>
    <w:rsid w:val="008B3594"/>
    <w:rsid w:val="008B4542"/>
    <w:rsid w:val="008B49DE"/>
    <w:rsid w:val="008B5168"/>
    <w:rsid w:val="008B57E4"/>
    <w:rsid w:val="008C02FE"/>
    <w:rsid w:val="008C5E2C"/>
    <w:rsid w:val="008C79A1"/>
    <w:rsid w:val="008D6FBD"/>
    <w:rsid w:val="008F6A09"/>
    <w:rsid w:val="00903B00"/>
    <w:rsid w:val="00911786"/>
    <w:rsid w:val="00911B39"/>
    <w:rsid w:val="009223C0"/>
    <w:rsid w:val="009230DC"/>
    <w:rsid w:val="00935FFA"/>
    <w:rsid w:val="0094262B"/>
    <w:rsid w:val="00954B22"/>
    <w:rsid w:val="00956A0C"/>
    <w:rsid w:val="00962301"/>
    <w:rsid w:val="00963205"/>
    <w:rsid w:val="0096689F"/>
    <w:rsid w:val="009677EC"/>
    <w:rsid w:val="00977057"/>
    <w:rsid w:val="00977D3A"/>
    <w:rsid w:val="009867AA"/>
    <w:rsid w:val="009A60EF"/>
    <w:rsid w:val="009B29F5"/>
    <w:rsid w:val="009B7E68"/>
    <w:rsid w:val="009D116B"/>
    <w:rsid w:val="009D3389"/>
    <w:rsid w:val="009D5C1D"/>
    <w:rsid w:val="009E27F4"/>
    <w:rsid w:val="009E54EA"/>
    <w:rsid w:val="009E621B"/>
    <w:rsid w:val="009E706A"/>
    <w:rsid w:val="009F3D52"/>
    <w:rsid w:val="009F4443"/>
    <w:rsid w:val="009F61FE"/>
    <w:rsid w:val="009F7F3D"/>
    <w:rsid w:val="00A0119E"/>
    <w:rsid w:val="00A0342C"/>
    <w:rsid w:val="00A03A02"/>
    <w:rsid w:val="00A06093"/>
    <w:rsid w:val="00A136BF"/>
    <w:rsid w:val="00A1633C"/>
    <w:rsid w:val="00A208EC"/>
    <w:rsid w:val="00A2145C"/>
    <w:rsid w:val="00A23241"/>
    <w:rsid w:val="00A2623B"/>
    <w:rsid w:val="00A40318"/>
    <w:rsid w:val="00A47481"/>
    <w:rsid w:val="00A4798B"/>
    <w:rsid w:val="00A5361A"/>
    <w:rsid w:val="00A609B6"/>
    <w:rsid w:val="00A640CD"/>
    <w:rsid w:val="00A6674C"/>
    <w:rsid w:val="00A66B2F"/>
    <w:rsid w:val="00A71A83"/>
    <w:rsid w:val="00A74132"/>
    <w:rsid w:val="00A81995"/>
    <w:rsid w:val="00A85042"/>
    <w:rsid w:val="00A87F8D"/>
    <w:rsid w:val="00A9075F"/>
    <w:rsid w:val="00A929C0"/>
    <w:rsid w:val="00AA1FAE"/>
    <w:rsid w:val="00AB19E7"/>
    <w:rsid w:val="00AB3EBB"/>
    <w:rsid w:val="00AB4C67"/>
    <w:rsid w:val="00AB6CBE"/>
    <w:rsid w:val="00AC6EBC"/>
    <w:rsid w:val="00AD00D9"/>
    <w:rsid w:val="00AD1D4E"/>
    <w:rsid w:val="00AD42DD"/>
    <w:rsid w:val="00AE35A0"/>
    <w:rsid w:val="00AE48FB"/>
    <w:rsid w:val="00AE707F"/>
    <w:rsid w:val="00AF1B18"/>
    <w:rsid w:val="00AF43BE"/>
    <w:rsid w:val="00AF5006"/>
    <w:rsid w:val="00AF55D2"/>
    <w:rsid w:val="00AF6192"/>
    <w:rsid w:val="00B043A8"/>
    <w:rsid w:val="00B0460F"/>
    <w:rsid w:val="00B05415"/>
    <w:rsid w:val="00B1466D"/>
    <w:rsid w:val="00B2584C"/>
    <w:rsid w:val="00B26156"/>
    <w:rsid w:val="00B26FFE"/>
    <w:rsid w:val="00B33D6B"/>
    <w:rsid w:val="00B51596"/>
    <w:rsid w:val="00B5576F"/>
    <w:rsid w:val="00B61905"/>
    <w:rsid w:val="00B6344F"/>
    <w:rsid w:val="00B647C2"/>
    <w:rsid w:val="00B6539F"/>
    <w:rsid w:val="00B71A73"/>
    <w:rsid w:val="00B71F3D"/>
    <w:rsid w:val="00B721E2"/>
    <w:rsid w:val="00B7601E"/>
    <w:rsid w:val="00B804CA"/>
    <w:rsid w:val="00B82CC8"/>
    <w:rsid w:val="00B848E5"/>
    <w:rsid w:val="00B86281"/>
    <w:rsid w:val="00BA0392"/>
    <w:rsid w:val="00BA16AD"/>
    <w:rsid w:val="00BB18FE"/>
    <w:rsid w:val="00BB75FC"/>
    <w:rsid w:val="00BC32D7"/>
    <w:rsid w:val="00BC40AF"/>
    <w:rsid w:val="00BC6AE5"/>
    <w:rsid w:val="00BE005D"/>
    <w:rsid w:val="00BE0B87"/>
    <w:rsid w:val="00BE6016"/>
    <w:rsid w:val="00BE7B88"/>
    <w:rsid w:val="00BF0758"/>
    <w:rsid w:val="00BF10A0"/>
    <w:rsid w:val="00BF3C6E"/>
    <w:rsid w:val="00C04C19"/>
    <w:rsid w:val="00C04C90"/>
    <w:rsid w:val="00C0609D"/>
    <w:rsid w:val="00C076AA"/>
    <w:rsid w:val="00C10E47"/>
    <w:rsid w:val="00C120A3"/>
    <w:rsid w:val="00C16856"/>
    <w:rsid w:val="00C22DBA"/>
    <w:rsid w:val="00C27683"/>
    <w:rsid w:val="00C331E3"/>
    <w:rsid w:val="00C50A4A"/>
    <w:rsid w:val="00C51889"/>
    <w:rsid w:val="00C51ECF"/>
    <w:rsid w:val="00C604AA"/>
    <w:rsid w:val="00C658B1"/>
    <w:rsid w:val="00C755CB"/>
    <w:rsid w:val="00C75E33"/>
    <w:rsid w:val="00C7682F"/>
    <w:rsid w:val="00C8068B"/>
    <w:rsid w:val="00C82605"/>
    <w:rsid w:val="00C83584"/>
    <w:rsid w:val="00C91E65"/>
    <w:rsid w:val="00C94D8C"/>
    <w:rsid w:val="00C97C20"/>
    <w:rsid w:val="00CA6095"/>
    <w:rsid w:val="00CC470C"/>
    <w:rsid w:val="00CD0C23"/>
    <w:rsid w:val="00CD159E"/>
    <w:rsid w:val="00CD5029"/>
    <w:rsid w:val="00CD616B"/>
    <w:rsid w:val="00D1191C"/>
    <w:rsid w:val="00D17520"/>
    <w:rsid w:val="00D17F93"/>
    <w:rsid w:val="00D23AF1"/>
    <w:rsid w:val="00D27A5D"/>
    <w:rsid w:val="00D30ACB"/>
    <w:rsid w:val="00D31A87"/>
    <w:rsid w:val="00D34088"/>
    <w:rsid w:val="00D4340A"/>
    <w:rsid w:val="00D43F6B"/>
    <w:rsid w:val="00D446E4"/>
    <w:rsid w:val="00D46F88"/>
    <w:rsid w:val="00D51325"/>
    <w:rsid w:val="00D54DB5"/>
    <w:rsid w:val="00D64EBA"/>
    <w:rsid w:val="00D7693F"/>
    <w:rsid w:val="00D840F3"/>
    <w:rsid w:val="00DA2136"/>
    <w:rsid w:val="00DA4265"/>
    <w:rsid w:val="00DC4FF9"/>
    <w:rsid w:val="00DD0919"/>
    <w:rsid w:val="00DD25F3"/>
    <w:rsid w:val="00DD2DA5"/>
    <w:rsid w:val="00DD492F"/>
    <w:rsid w:val="00DD59C0"/>
    <w:rsid w:val="00DE2D56"/>
    <w:rsid w:val="00DF0041"/>
    <w:rsid w:val="00DF2431"/>
    <w:rsid w:val="00DF4901"/>
    <w:rsid w:val="00E01C9E"/>
    <w:rsid w:val="00E041F5"/>
    <w:rsid w:val="00E07C9C"/>
    <w:rsid w:val="00E13454"/>
    <w:rsid w:val="00E20BFA"/>
    <w:rsid w:val="00E22A29"/>
    <w:rsid w:val="00E25337"/>
    <w:rsid w:val="00E25407"/>
    <w:rsid w:val="00E3016C"/>
    <w:rsid w:val="00E33800"/>
    <w:rsid w:val="00E34BF2"/>
    <w:rsid w:val="00E365C5"/>
    <w:rsid w:val="00E37103"/>
    <w:rsid w:val="00E448BC"/>
    <w:rsid w:val="00E465E7"/>
    <w:rsid w:val="00E50AE2"/>
    <w:rsid w:val="00E52511"/>
    <w:rsid w:val="00E52AC3"/>
    <w:rsid w:val="00E57C25"/>
    <w:rsid w:val="00E6787D"/>
    <w:rsid w:val="00E75C4F"/>
    <w:rsid w:val="00E75E8F"/>
    <w:rsid w:val="00E8074F"/>
    <w:rsid w:val="00E81E7E"/>
    <w:rsid w:val="00E83AC0"/>
    <w:rsid w:val="00E8683B"/>
    <w:rsid w:val="00E87BD0"/>
    <w:rsid w:val="00E9677E"/>
    <w:rsid w:val="00EA15E6"/>
    <w:rsid w:val="00EA273A"/>
    <w:rsid w:val="00EA3476"/>
    <w:rsid w:val="00EA429D"/>
    <w:rsid w:val="00EB00F5"/>
    <w:rsid w:val="00EB0E04"/>
    <w:rsid w:val="00EB0ED4"/>
    <w:rsid w:val="00EB7C33"/>
    <w:rsid w:val="00EC150D"/>
    <w:rsid w:val="00EC423A"/>
    <w:rsid w:val="00EC633F"/>
    <w:rsid w:val="00EC6AA8"/>
    <w:rsid w:val="00ED27D1"/>
    <w:rsid w:val="00ED4DA9"/>
    <w:rsid w:val="00ED553F"/>
    <w:rsid w:val="00ED7ABA"/>
    <w:rsid w:val="00EE10F6"/>
    <w:rsid w:val="00EE4138"/>
    <w:rsid w:val="00EE6FE3"/>
    <w:rsid w:val="00EF13A7"/>
    <w:rsid w:val="00EF423D"/>
    <w:rsid w:val="00EF7442"/>
    <w:rsid w:val="00F05FB7"/>
    <w:rsid w:val="00F07467"/>
    <w:rsid w:val="00F12021"/>
    <w:rsid w:val="00F13D75"/>
    <w:rsid w:val="00F14C84"/>
    <w:rsid w:val="00F2502D"/>
    <w:rsid w:val="00F30265"/>
    <w:rsid w:val="00F3658F"/>
    <w:rsid w:val="00F424EF"/>
    <w:rsid w:val="00F43CC1"/>
    <w:rsid w:val="00F55BC0"/>
    <w:rsid w:val="00F55E99"/>
    <w:rsid w:val="00F71378"/>
    <w:rsid w:val="00F763C2"/>
    <w:rsid w:val="00F81B0E"/>
    <w:rsid w:val="00F83C6D"/>
    <w:rsid w:val="00F91E71"/>
    <w:rsid w:val="00F9783F"/>
    <w:rsid w:val="00FA01DE"/>
    <w:rsid w:val="00FA0C4A"/>
    <w:rsid w:val="00FA5248"/>
    <w:rsid w:val="00FA71A5"/>
    <w:rsid w:val="00FB192C"/>
    <w:rsid w:val="00FB30E3"/>
    <w:rsid w:val="00FB35B0"/>
    <w:rsid w:val="00FB3CA2"/>
    <w:rsid w:val="00FB4D75"/>
    <w:rsid w:val="00FB6C38"/>
    <w:rsid w:val="00FC0C60"/>
    <w:rsid w:val="00FC67B3"/>
    <w:rsid w:val="00FD52BA"/>
    <w:rsid w:val="00FE2F76"/>
    <w:rsid w:val="00FE319B"/>
    <w:rsid w:val="00FE335B"/>
    <w:rsid w:val="00FE5AB5"/>
    <w:rsid w:val="00FF4F89"/>
    <w:rsid w:val="00FF73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CD9E"/>
  <w15:docId w15:val="{A829A7B2-71FB-4A93-8B98-314D13B8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68B"/>
    <w:pPr>
      <w:spacing w:after="0" w:line="240" w:lineRule="auto"/>
    </w:pPr>
    <w:rPr>
      <w:rFonts w:ascii="Times New Roman" w:eastAsia="Times New Roman" w:hAnsi="Times New Roman" w:cs="Times New Roman"/>
      <w:sz w:val="24"/>
      <w:szCs w:val="24"/>
      <w:lang w:val="es-CO" w:eastAsia="es-ES_tradn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
    <w:qFormat/>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rsid w:val="00C22DFA"/>
    <w:rPr>
      <w:sz w:val="16"/>
      <w:szCs w:val="16"/>
    </w:rPr>
  </w:style>
  <w:style w:type="paragraph" w:styleId="Textocomentario">
    <w:name w:val="annotation text"/>
    <w:basedOn w:val="Normal"/>
    <w:link w:val="TextocomentarioCar"/>
    <w:uiPriority w:val="99"/>
    <w:semiHidden/>
    <w:unhideWhenUsed/>
    <w:rsid w:val="00C22DFA"/>
    <w:rPr>
      <w:sz w:val="20"/>
      <w:szCs w:val="20"/>
    </w:rPr>
  </w:style>
  <w:style w:type="character" w:customStyle="1" w:styleId="TextocomentarioCar">
    <w:name w:val="Texto comentario Car"/>
    <w:basedOn w:val="Fuentedeprrafopredeter"/>
    <w:link w:val="Textocomentario"/>
    <w:uiPriority w:val="99"/>
    <w:semiHidden/>
    <w:rsid w:val="00C22DFA"/>
    <w:rPr>
      <w:rFonts w:ascii="Calibri" w:eastAsia="Calibri" w:hAnsi="Calibri" w:cs="Calibri"/>
      <w:sz w:val="20"/>
      <w:szCs w:val="20"/>
      <w:lang w:val="en" w:eastAsia="es-CO"/>
    </w:rPr>
  </w:style>
  <w:style w:type="paragraph" w:styleId="Prrafodelista">
    <w:name w:val="List Paragraph"/>
    <w:basedOn w:val="Normal"/>
    <w:uiPriority w:val="34"/>
    <w:qFormat/>
    <w:rsid w:val="00C22DFA"/>
    <w:pPr>
      <w:ind w:left="720"/>
      <w:contextualSpacing/>
    </w:pPr>
  </w:style>
  <w:style w:type="paragraph" w:styleId="Textodeglobo">
    <w:name w:val="Balloon Text"/>
    <w:basedOn w:val="Normal"/>
    <w:link w:val="TextodegloboCar"/>
    <w:uiPriority w:val="99"/>
    <w:semiHidden/>
    <w:unhideWhenUsed/>
    <w:rsid w:val="00392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22AC"/>
    <w:rPr>
      <w:rFonts w:ascii="Segoe UI" w:eastAsia="Calibri" w:hAnsi="Segoe UI" w:cs="Segoe UI"/>
      <w:sz w:val="18"/>
      <w:szCs w:val="18"/>
      <w:lang w:val="en" w:eastAsia="es-CO"/>
    </w:rPr>
  </w:style>
  <w:style w:type="paragraph" w:styleId="Asuntodelcomentario">
    <w:name w:val="annotation subject"/>
    <w:basedOn w:val="Textocomentario"/>
    <w:next w:val="Textocomentario"/>
    <w:link w:val="AsuntodelcomentarioCar"/>
    <w:uiPriority w:val="99"/>
    <w:semiHidden/>
    <w:unhideWhenUsed/>
    <w:rsid w:val="003922AC"/>
    <w:rPr>
      <w:b/>
      <w:bCs/>
    </w:rPr>
  </w:style>
  <w:style w:type="character" w:customStyle="1" w:styleId="AsuntodelcomentarioCar">
    <w:name w:val="Asunto del comentario Car"/>
    <w:basedOn w:val="TextocomentarioCar"/>
    <w:link w:val="Asuntodelcomentario"/>
    <w:uiPriority w:val="99"/>
    <w:semiHidden/>
    <w:rsid w:val="003922AC"/>
    <w:rPr>
      <w:rFonts w:ascii="Calibri" w:eastAsia="Calibri" w:hAnsi="Calibri" w:cs="Calibri"/>
      <w:b/>
      <w:bCs/>
      <w:sz w:val="20"/>
      <w:szCs w:val="20"/>
      <w:lang w:val="en"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Default">
    <w:name w:val="Default"/>
    <w:rsid w:val="00B6344F"/>
    <w:pPr>
      <w:widowControl w:val="0"/>
      <w:autoSpaceDE w:val="0"/>
      <w:autoSpaceDN w:val="0"/>
      <w:adjustRightInd w:val="0"/>
      <w:spacing w:after="0" w:line="240" w:lineRule="auto"/>
    </w:pPr>
    <w:rPr>
      <w:rFonts w:ascii="Arial" w:hAnsi="Arial" w:cs="Arial"/>
      <w:color w:val="000000"/>
      <w:sz w:val="24"/>
      <w:szCs w:val="24"/>
      <w:lang w:val="es-ES_tradnl"/>
    </w:rPr>
  </w:style>
  <w:style w:type="paragraph" w:styleId="Piedepgina">
    <w:name w:val="footer"/>
    <w:basedOn w:val="Normal"/>
    <w:link w:val="PiedepginaCar"/>
    <w:uiPriority w:val="99"/>
    <w:unhideWhenUsed/>
    <w:rsid w:val="00031EF8"/>
    <w:pPr>
      <w:tabs>
        <w:tab w:val="center" w:pos="4252"/>
        <w:tab w:val="right" w:pos="8504"/>
      </w:tabs>
    </w:pPr>
  </w:style>
  <w:style w:type="character" w:customStyle="1" w:styleId="PiedepginaCar">
    <w:name w:val="Pie de página Car"/>
    <w:basedOn w:val="Fuentedeprrafopredeter"/>
    <w:link w:val="Piedepgina"/>
    <w:uiPriority w:val="99"/>
    <w:rsid w:val="00031EF8"/>
  </w:style>
  <w:style w:type="character" w:styleId="Nmerodepgina">
    <w:name w:val="page number"/>
    <w:basedOn w:val="Fuentedeprrafopredeter"/>
    <w:uiPriority w:val="99"/>
    <w:semiHidden/>
    <w:unhideWhenUsed/>
    <w:rsid w:val="00031EF8"/>
  </w:style>
  <w:style w:type="paragraph" w:styleId="Textonotapie">
    <w:name w:val="footnote text"/>
    <w:basedOn w:val="Normal"/>
    <w:link w:val="TextonotapieCar"/>
    <w:uiPriority w:val="99"/>
    <w:unhideWhenUsed/>
    <w:rsid w:val="001D3E24"/>
    <w:rPr>
      <w:sz w:val="20"/>
      <w:szCs w:val="20"/>
    </w:rPr>
  </w:style>
  <w:style w:type="character" w:customStyle="1" w:styleId="TextonotapieCar">
    <w:name w:val="Texto nota pie Car"/>
    <w:basedOn w:val="Fuentedeprrafopredeter"/>
    <w:link w:val="Textonotapie"/>
    <w:uiPriority w:val="99"/>
    <w:rsid w:val="001D3E24"/>
    <w:rPr>
      <w:sz w:val="20"/>
      <w:szCs w:val="20"/>
    </w:rPr>
  </w:style>
  <w:style w:type="character" w:styleId="Refdenotaalpie">
    <w:name w:val="footnote reference"/>
    <w:basedOn w:val="Fuentedeprrafopredeter"/>
    <w:uiPriority w:val="99"/>
    <w:semiHidden/>
    <w:unhideWhenUsed/>
    <w:rsid w:val="001D3E24"/>
    <w:rPr>
      <w:vertAlign w:val="superscript"/>
    </w:rPr>
  </w:style>
  <w:style w:type="paragraph" w:styleId="Encabezado">
    <w:name w:val="header"/>
    <w:basedOn w:val="Normal"/>
    <w:link w:val="EncabezadoCar"/>
    <w:uiPriority w:val="99"/>
    <w:unhideWhenUsed/>
    <w:rsid w:val="004E2F5E"/>
    <w:pPr>
      <w:tabs>
        <w:tab w:val="center" w:pos="4252"/>
        <w:tab w:val="right" w:pos="8504"/>
      </w:tabs>
    </w:pPr>
  </w:style>
  <w:style w:type="character" w:customStyle="1" w:styleId="EncabezadoCar">
    <w:name w:val="Encabezado Car"/>
    <w:basedOn w:val="Fuentedeprrafopredeter"/>
    <w:link w:val="Encabezado"/>
    <w:uiPriority w:val="99"/>
    <w:rsid w:val="004E2F5E"/>
  </w:style>
  <w:style w:type="character" w:styleId="Hipervnculo">
    <w:name w:val="Hyperlink"/>
    <w:basedOn w:val="Fuentedeprrafopredeter"/>
    <w:uiPriority w:val="99"/>
    <w:unhideWhenUsed/>
    <w:rsid w:val="00E83AC0"/>
    <w:rPr>
      <w:color w:val="0563C1" w:themeColor="hyperlink"/>
      <w:u w:val="single"/>
    </w:rPr>
  </w:style>
  <w:style w:type="character" w:customStyle="1" w:styleId="Mencinsinresolver1">
    <w:name w:val="Mención sin resolver1"/>
    <w:basedOn w:val="Fuentedeprrafopredeter"/>
    <w:uiPriority w:val="99"/>
    <w:rsid w:val="00E83AC0"/>
    <w:rPr>
      <w:color w:val="605E5C"/>
      <w:shd w:val="clear" w:color="auto" w:fill="E1DFDD"/>
    </w:rPr>
  </w:style>
  <w:style w:type="character" w:styleId="Hipervnculovisitado">
    <w:name w:val="FollowedHyperlink"/>
    <w:basedOn w:val="Fuentedeprrafopredeter"/>
    <w:uiPriority w:val="99"/>
    <w:semiHidden/>
    <w:unhideWhenUsed/>
    <w:rsid w:val="00837E00"/>
    <w:rPr>
      <w:color w:val="954F72" w:themeColor="followedHyperlink"/>
      <w:u w:val="single"/>
    </w:rPr>
  </w:style>
  <w:style w:type="character" w:customStyle="1" w:styleId="il">
    <w:name w:val="il"/>
    <w:basedOn w:val="Fuentedeprrafopredeter"/>
    <w:rsid w:val="00A03A02"/>
  </w:style>
  <w:style w:type="paragraph" w:styleId="NormalWeb">
    <w:name w:val="Normal (Web)"/>
    <w:basedOn w:val="Normal"/>
    <w:uiPriority w:val="99"/>
    <w:unhideWhenUsed/>
    <w:rsid w:val="00EA15E6"/>
    <w:pPr>
      <w:spacing w:before="100" w:beforeAutospacing="1" w:after="100" w:afterAutospacing="1"/>
    </w:pPr>
  </w:style>
  <w:style w:type="table" w:styleId="Tablaconcuadrcula">
    <w:name w:val="Table Grid"/>
    <w:basedOn w:val="Tablanormal"/>
    <w:uiPriority w:val="59"/>
    <w:rsid w:val="00A81995"/>
    <w:pPr>
      <w:spacing w:after="0" w:line="240" w:lineRule="auto"/>
    </w:pPr>
    <w:rPr>
      <w:rFonts w:asciiTheme="minorHAnsi" w:eastAsiaTheme="minorEastAsia"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81995"/>
    <w:pPr>
      <w:jc w:val="both"/>
    </w:pPr>
    <w:rPr>
      <w:bCs/>
      <w:sz w:val="20"/>
      <w:szCs w:val="18"/>
    </w:rPr>
  </w:style>
  <w:style w:type="character" w:styleId="nfasis">
    <w:name w:val="Emphasis"/>
    <w:basedOn w:val="Fuentedeprrafopredeter"/>
    <w:uiPriority w:val="20"/>
    <w:qFormat/>
    <w:rsid w:val="000F1BD1"/>
    <w:rPr>
      <w:i/>
      <w:iCs/>
    </w:rPr>
  </w:style>
  <w:style w:type="character" w:styleId="Mencinsinresolver">
    <w:name w:val="Unresolved Mention"/>
    <w:basedOn w:val="Fuentedeprrafopredeter"/>
    <w:uiPriority w:val="99"/>
    <w:semiHidden/>
    <w:unhideWhenUsed/>
    <w:rsid w:val="004942CE"/>
    <w:rPr>
      <w:color w:val="605E5C"/>
      <w:shd w:val="clear" w:color="auto" w:fill="E1DFDD"/>
    </w:rPr>
  </w:style>
  <w:style w:type="character" w:styleId="Textodelmarcadordeposicin">
    <w:name w:val="Placeholder Text"/>
    <w:basedOn w:val="Fuentedeprrafopredeter"/>
    <w:uiPriority w:val="99"/>
    <w:semiHidden/>
    <w:rsid w:val="00093D42"/>
    <w:rPr>
      <w:color w:val="808080"/>
    </w:rPr>
  </w:style>
  <w:style w:type="character" w:customStyle="1" w:styleId="apple-converted-space">
    <w:name w:val="apple-converted-space"/>
    <w:basedOn w:val="Fuentedeprrafopredeter"/>
    <w:rsid w:val="00112471"/>
  </w:style>
  <w:style w:type="character" w:customStyle="1" w:styleId="doi">
    <w:name w:val="doi"/>
    <w:basedOn w:val="Fuentedeprrafopredeter"/>
    <w:rsid w:val="00D46F88"/>
  </w:style>
  <w:style w:type="character" w:customStyle="1" w:styleId="Ttulo4Car">
    <w:name w:val="Título 4 Car"/>
    <w:basedOn w:val="Fuentedeprrafopredeter"/>
    <w:link w:val="Ttulo4"/>
    <w:uiPriority w:val="9"/>
    <w:rsid w:val="00C8068B"/>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560">
      <w:bodyDiv w:val="1"/>
      <w:marLeft w:val="0"/>
      <w:marRight w:val="0"/>
      <w:marTop w:val="0"/>
      <w:marBottom w:val="0"/>
      <w:divBdr>
        <w:top w:val="none" w:sz="0" w:space="0" w:color="auto"/>
        <w:left w:val="none" w:sz="0" w:space="0" w:color="auto"/>
        <w:bottom w:val="none" w:sz="0" w:space="0" w:color="auto"/>
        <w:right w:val="none" w:sz="0" w:space="0" w:color="auto"/>
      </w:divBdr>
    </w:div>
    <w:div w:id="140737718">
      <w:bodyDiv w:val="1"/>
      <w:marLeft w:val="0"/>
      <w:marRight w:val="0"/>
      <w:marTop w:val="0"/>
      <w:marBottom w:val="0"/>
      <w:divBdr>
        <w:top w:val="none" w:sz="0" w:space="0" w:color="auto"/>
        <w:left w:val="none" w:sz="0" w:space="0" w:color="auto"/>
        <w:bottom w:val="none" w:sz="0" w:space="0" w:color="auto"/>
        <w:right w:val="none" w:sz="0" w:space="0" w:color="auto"/>
      </w:divBdr>
    </w:div>
    <w:div w:id="150027844">
      <w:bodyDiv w:val="1"/>
      <w:marLeft w:val="0"/>
      <w:marRight w:val="0"/>
      <w:marTop w:val="0"/>
      <w:marBottom w:val="0"/>
      <w:divBdr>
        <w:top w:val="none" w:sz="0" w:space="0" w:color="auto"/>
        <w:left w:val="none" w:sz="0" w:space="0" w:color="auto"/>
        <w:bottom w:val="none" w:sz="0" w:space="0" w:color="auto"/>
        <w:right w:val="none" w:sz="0" w:space="0" w:color="auto"/>
      </w:divBdr>
    </w:div>
    <w:div w:id="236985249">
      <w:bodyDiv w:val="1"/>
      <w:marLeft w:val="0"/>
      <w:marRight w:val="0"/>
      <w:marTop w:val="0"/>
      <w:marBottom w:val="0"/>
      <w:divBdr>
        <w:top w:val="none" w:sz="0" w:space="0" w:color="auto"/>
        <w:left w:val="none" w:sz="0" w:space="0" w:color="auto"/>
        <w:bottom w:val="none" w:sz="0" w:space="0" w:color="auto"/>
        <w:right w:val="none" w:sz="0" w:space="0" w:color="auto"/>
      </w:divBdr>
      <w:divsChild>
        <w:div w:id="2044593066">
          <w:marLeft w:val="0"/>
          <w:marRight w:val="0"/>
          <w:marTop w:val="0"/>
          <w:marBottom w:val="0"/>
          <w:divBdr>
            <w:top w:val="none" w:sz="0" w:space="0" w:color="auto"/>
            <w:left w:val="none" w:sz="0" w:space="0" w:color="auto"/>
            <w:bottom w:val="none" w:sz="0" w:space="0" w:color="auto"/>
            <w:right w:val="none" w:sz="0" w:space="0" w:color="auto"/>
          </w:divBdr>
          <w:divsChild>
            <w:div w:id="1741979096">
              <w:marLeft w:val="0"/>
              <w:marRight w:val="0"/>
              <w:marTop w:val="0"/>
              <w:marBottom w:val="0"/>
              <w:divBdr>
                <w:top w:val="none" w:sz="0" w:space="0" w:color="auto"/>
                <w:left w:val="none" w:sz="0" w:space="0" w:color="auto"/>
                <w:bottom w:val="none" w:sz="0" w:space="0" w:color="auto"/>
                <w:right w:val="none" w:sz="0" w:space="0" w:color="auto"/>
              </w:divBdr>
              <w:divsChild>
                <w:div w:id="19121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00778">
      <w:bodyDiv w:val="1"/>
      <w:marLeft w:val="0"/>
      <w:marRight w:val="0"/>
      <w:marTop w:val="0"/>
      <w:marBottom w:val="0"/>
      <w:divBdr>
        <w:top w:val="none" w:sz="0" w:space="0" w:color="auto"/>
        <w:left w:val="none" w:sz="0" w:space="0" w:color="auto"/>
        <w:bottom w:val="none" w:sz="0" w:space="0" w:color="auto"/>
        <w:right w:val="none" w:sz="0" w:space="0" w:color="auto"/>
      </w:divBdr>
    </w:div>
    <w:div w:id="296953407">
      <w:bodyDiv w:val="1"/>
      <w:marLeft w:val="0"/>
      <w:marRight w:val="0"/>
      <w:marTop w:val="0"/>
      <w:marBottom w:val="0"/>
      <w:divBdr>
        <w:top w:val="none" w:sz="0" w:space="0" w:color="auto"/>
        <w:left w:val="none" w:sz="0" w:space="0" w:color="auto"/>
        <w:bottom w:val="none" w:sz="0" w:space="0" w:color="auto"/>
        <w:right w:val="none" w:sz="0" w:space="0" w:color="auto"/>
      </w:divBdr>
    </w:div>
    <w:div w:id="348220364">
      <w:bodyDiv w:val="1"/>
      <w:marLeft w:val="0"/>
      <w:marRight w:val="0"/>
      <w:marTop w:val="0"/>
      <w:marBottom w:val="0"/>
      <w:divBdr>
        <w:top w:val="none" w:sz="0" w:space="0" w:color="auto"/>
        <w:left w:val="none" w:sz="0" w:space="0" w:color="auto"/>
        <w:bottom w:val="none" w:sz="0" w:space="0" w:color="auto"/>
        <w:right w:val="none" w:sz="0" w:space="0" w:color="auto"/>
      </w:divBdr>
    </w:div>
    <w:div w:id="383141113">
      <w:bodyDiv w:val="1"/>
      <w:marLeft w:val="0"/>
      <w:marRight w:val="0"/>
      <w:marTop w:val="0"/>
      <w:marBottom w:val="0"/>
      <w:divBdr>
        <w:top w:val="none" w:sz="0" w:space="0" w:color="auto"/>
        <w:left w:val="none" w:sz="0" w:space="0" w:color="auto"/>
        <w:bottom w:val="none" w:sz="0" w:space="0" w:color="auto"/>
        <w:right w:val="none" w:sz="0" w:space="0" w:color="auto"/>
      </w:divBdr>
    </w:div>
    <w:div w:id="393091030">
      <w:bodyDiv w:val="1"/>
      <w:marLeft w:val="0"/>
      <w:marRight w:val="0"/>
      <w:marTop w:val="0"/>
      <w:marBottom w:val="0"/>
      <w:divBdr>
        <w:top w:val="none" w:sz="0" w:space="0" w:color="auto"/>
        <w:left w:val="none" w:sz="0" w:space="0" w:color="auto"/>
        <w:bottom w:val="none" w:sz="0" w:space="0" w:color="auto"/>
        <w:right w:val="none" w:sz="0" w:space="0" w:color="auto"/>
      </w:divBdr>
    </w:div>
    <w:div w:id="434058466">
      <w:bodyDiv w:val="1"/>
      <w:marLeft w:val="0"/>
      <w:marRight w:val="0"/>
      <w:marTop w:val="0"/>
      <w:marBottom w:val="0"/>
      <w:divBdr>
        <w:top w:val="none" w:sz="0" w:space="0" w:color="auto"/>
        <w:left w:val="none" w:sz="0" w:space="0" w:color="auto"/>
        <w:bottom w:val="none" w:sz="0" w:space="0" w:color="auto"/>
        <w:right w:val="none" w:sz="0" w:space="0" w:color="auto"/>
      </w:divBdr>
    </w:div>
    <w:div w:id="443501871">
      <w:bodyDiv w:val="1"/>
      <w:marLeft w:val="0"/>
      <w:marRight w:val="0"/>
      <w:marTop w:val="0"/>
      <w:marBottom w:val="0"/>
      <w:divBdr>
        <w:top w:val="none" w:sz="0" w:space="0" w:color="auto"/>
        <w:left w:val="none" w:sz="0" w:space="0" w:color="auto"/>
        <w:bottom w:val="none" w:sz="0" w:space="0" w:color="auto"/>
        <w:right w:val="none" w:sz="0" w:space="0" w:color="auto"/>
      </w:divBdr>
    </w:div>
    <w:div w:id="448861674">
      <w:bodyDiv w:val="1"/>
      <w:marLeft w:val="0"/>
      <w:marRight w:val="0"/>
      <w:marTop w:val="0"/>
      <w:marBottom w:val="0"/>
      <w:divBdr>
        <w:top w:val="none" w:sz="0" w:space="0" w:color="auto"/>
        <w:left w:val="none" w:sz="0" w:space="0" w:color="auto"/>
        <w:bottom w:val="none" w:sz="0" w:space="0" w:color="auto"/>
        <w:right w:val="none" w:sz="0" w:space="0" w:color="auto"/>
      </w:divBdr>
    </w:div>
    <w:div w:id="499927398">
      <w:bodyDiv w:val="1"/>
      <w:marLeft w:val="0"/>
      <w:marRight w:val="0"/>
      <w:marTop w:val="0"/>
      <w:marBottom w:val="0"/>
      <w:divBdr>
        <w:top w:val="none" w:sz="0" w:space="0" w:color="auto"/>
        <w:left w:val="none" w:sz="0" w:space="0" w:color="auto"/>
        <w:bottom w:val="none" w:sz="0" w:space="0" w:color="auto"/>
        <w:right w:val="none" w:sz="0" w:space="0" w:color="auto"/>
      </w:divBdr>
    </w:div>
    <w:div w:id="551696295">
      <w:bodyDiv w:val="1"/>
      <w:marLeft w:val="0"/>
      <w:marRight w:val="0"/>
      <w:marTop w:val="0"/>
      <w:marBottom w:val="0"/>
      <w:divBdr>
        <w:top w:val="none" w:sz="0" w:space="0" w:color="auto"/>
        <w:left w:val="none" w:sz="0" w:space="0" w:color="auto"/>
        <w:bottom w:val="none" w:sz="0" w:space="0" w:color="auto"/>
        <w:right w:val="none" w:sz="0" w:space="0" w:color="auto"/>
      </w:divBdr>
    </w:div>
    <w:div w:id="555163890">
      <w:bodyDiv w:val="1"/>
      <w:marLeft w:val="0"/>
      <w:marRight w:val="0"/>
      <w:marTop w:val="0"/>
      <w:marBottom w:val="0"/>
      <w:divBdr>
        <w:top w:val="none" w:sz="0" w:space="0" w:color="auto"/>
        <w:left w:val="none" w:sz="0" w:space="0" w:color="auto"/>
        <w:bottom w:val="none" w:sz="0" w:space="0" w:color="auto"/>
        <w:right w:val="none" w:sz="0" w:space="0" w:color="auto"/>
      </w:divBdr>
      <w:divsChild>
        <w:div w:id="1282420023">
          <w:marLeft w:val="0"/>
          <w:marRight w:val="0"/>
          <w:marTop w:val="0"/>
          <w:marBottom w:val="0"/>
          <w:divBdr>
            <w:top w:val="none" w:sz="0" w:space="0" w:color="auto"/>
            <w:left w:val="none" w:sz="0" w:space="0" w:color="auto"/>
            <w:bottom w:val="none" w:sz="0" w:space="0" w:color="auto"/>
            <w:right w:val="none" w:sz="0" w:space="0" w:color="auto"/>
          </w:divBdr>
          <w:divsChild>
            <w:div w:id="626085809">
              <w:marLeft w:val="0"/>
              <w:marRight w:val="0"/>
              <w:marTop w:val="0"/>
              <w:marBottom w:val="0"/>
              <w:divBdr>
                <w:top w:val="none" w:sz="0" w:space="0" w:color="auto"/>
                <w:left w:val="none" w:sz="0" w:space="0" w:color="auto"/>
                <w:bottom w:val="none" w:sz="0" w:space="0" w:color="auto"/>
                <w:right w:val="none" w:sz="0" w:space="0" w:color="auto"/>
              </w:divBdr>
              <w:divsChild>
                <w:div w:id="14336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62579">
      <w:bodyDiv w:val="1"/>
      <w:marLeft w:val="0"/>
      <w:marRight w:val="0"/>
      <w:marTop w:val="0"/>
      <w:marBottom w:val="0"/>
      <w:divBdr>
        <w:top w:val="none" w:sz="0" w:space="0" w:color="auto"/>
        <w:left w:val="none" w:sz="0" w:space="0" w:color="auto"/>
        <w:bottom w:val="none" w:sz="0" w:space="0" w:color="auto"/>
        <w:right w:val="none" w:sz="0" w:space="0" w:color="auto"/>
      </w:divBdr>
    </w:div>
    <w:div w:id="595287962">
      <w:bodyDiv w:val="1"/>
      <w:marLeft w:val="0"/>
      <w:marRight w:val="0"/>
      <w:marTop w:val="0"/>
      <w:marBottom w:val="0"/>
      <w:divBdr>
        <w:top w:val="none" w:sz="0" w:space="0" w:color="auto"/>
        <w:left w:val="none" w:sz="0" w:space="0" w:color="auto"/>
        <w:bottom w:val="none" w:sz="0" w:space="0" w:color="auto"/>
        <w:right w:val="none" w:sz="0" w:space="0" w:color="auto"/>
      </w:divBdr>
    </w:div>
    <w:div w:id="602223027">
      <w:bodyDiv w:val="1"/>
      <w:marLeft w:val="0"/>
      <w:marRight w:val="0"/>
      <w:marTop w:val="0"/>
      <w:marBottom w:val="0"/>
      <w:divBdr>
        <w:top w:val="none" w:sz="0" w:space="0" w:color="auto"/>
        <w:left w:val="none" w:sz="0" w:space="0" w:color="auto"/>
        <w:bottom w:val="none" w:sz="0" w:space="0" w:color="auto"/>
        <w:right w:val="none" w:sz="0" w:space="0" w:color="auto"/>
      </w:divBdr>
    </w:div>
    <w:div w:id="610092901">
      <w:bodyDiv w:val="1"/>
      <w:marLeft w:val="0"/>
      <w:marRight w:val="0"/>
      <w:marTop w:val="0"/>
      <w:marBottom w:val="0"/>
      <w:divBdr>
        <w:top w:val="none" w:sz="0" w:space="0" w:color="auto"/>
        <w:left w:val="none" w:sz="0" w:space="0" w:color="auto"/>
        <w:bottom w:val="none" w:sz="0" w:space="0" w:color="auto"/>
        <w:right w:val="none" w:sz="0" w:space="0" w:color="auto"/>
      </w:divBdr>
    </w:div>
    <w:div w:id="615914503">
      <w:bodyDiv w:val="1"/>
      <w:marLeft w:val="0"/>
      <w:marRight w:val="0"/>
      <w:marTop w:val="0"/>
      <w:marBottom w:val="0"/>
      <w:divBdr>
        <w:top w:val="none" w:sz="0" w:space="0" w:color="auto"/>
        <w:left w:val="none" w:sz="0" w:space="0" w:color="auto"/>
        <w:bottom w:val="none" w:sz="0" w:space="0" w:color="auto"/>
        <w:right w:val="none" w:sz="0" w:space="0" w:color="auto"/>
      </w:divBdr>
    </w:div>
    <w:div w:id="620502223">
      <w:bodyDiv w:val="1"/>
      <w:marLeft w:val="0"/>
      <w:marRight w:val="0"/>
      <w:marTop w:val="0"/>
      <w:marBottom w:val="0"/>
      <w:divBdr>
        <w:top w:val="none" w:sz="0" w:space="0" w:color="auto"/>
        <w:left w:val="none" w:sz="0" w:space="0" w:color="auto"/>
        <w:bottom w:val="none" w:sz="0" w:space="0" w:color="auto"/>
        <w:right w:val="none" w:sz="0" w:space="0" w:color="auto"/>
      </w:divBdr>
    </w:div>
    <w:div w:id="660045504">
      <w:bodyDiv w:val="1"/>
      <w:marLeft w:val="0"/>
      <w:marRight w:val="0"/>
      <w:marTop w:val="0"/>
      <w:marBottom w:val="0"/>
      <w:divBdr>
        <w:top w:val="none" w:sz="0" w:space="0" w:color="auto"/>
        <w:left w:val="none" w:sz="0" w:space="0" w:color="auto"/>
        <w:bottom w:val="none" w:sz="0" w:space="0" w:color="auto"/>
        <w:right w:val="none" w:sz="0" w:space="0" w:color="auto"/>
      </w:divBdr>
    </w:div>
    <w:div w:id="802961166">
      <w:bodyDiv w:val="1"/>
      <w:marLeft w:val="0"/>
      <w:marRight w:val="0"/>
      <w:marTop w:val="0"/>
      <w:marBottom w:val="0"/>
      <w:divBdr>
        <w:top w:val="none" w:sz="0" w:space="0" w:color="auto"/>
        <w:left w:val="none" w:sz="0" w:space="0" w:color="auto"/>
        <w:bottom w:val="none" w:sz="0" w:space="0" w:color="auto"/>
        <w:right w:val="none" w:sz="0" w:space="0" w:color="auto"/>
      </w:divBdr>
    </w:div>
    <w:div w:id="865338726">
      <w:bodyDiv w:val="1"/>
      <w:marLeft w:val="0"/>
      <w:marRight w:val="0"/>
      <w:marTop w:val="0"/>
      <w:marBottom w:val="0"/>
      <w:divBdr>
        <w:top w:val="none" w:sz="0" w:space="0" w:color="auto"/>
        <w:left w:val="none" w:sz="0" w:space="0" w:color="auto"/>
        <w:bottom w:val="none" w:sz="0" w:space="0" w:color="auto"/>
        <w:right w:val="none" w:sz="0" w:space="0" w:color="auto"/>
      </w:divBdr>
    </w:div>
    <w:div w:id="940138033">
      <w:bodyDiv w:val="1"/>
      <w:marLeft w:val="0"/>
      <w:marRight w:val="0"/>
      <w:marTop w:val="0"/>
      <w:marBottom w:val="0"/>
      <w:divBdr>
        <w:top w:val="none" w:sz="0" w:space="0" w:color="auto"/>
        <w:left w:val="none" w:sz="0" w:space="0" w:color="auto"/>
        <w:bottom w:val="none" w:sz="0" w:space="0" w:color="auto"/>
        <w:right w:val="none" w:sz="0" w:space="0" w:color="auto"/>
      </w:divBdr>
    </w:div>
    <w:div w:id="978345431">
      <w:bodyDiv w:val="1"/>
      <w:marLeft w:val="0"/>
      <w:marRight w:val="0"/>
      <w:marTop w:val="0"/>
      <w:marBottom w:val="0"/>
      <w:divBdr>
        <w:top w:val="none" w:sz="0" w:space="0" w:color="auto"/>
        <w:left w:val="none" w:sz="0" w:space="0" w:color="auto"/>
        <w:bottom w:val="none" w:sz="0" w:space="0" w:color="auto"/>
        <w:right w:val="none" w:sz="0" w:space="0" w:color="auto"/>
      </w:divBdr>
    </w:div>
    <w:div w:id="999963389">
      <w:bodyDiv w:val="1"/>
      <w:marLeft w:val="0"/>
      <w:marRight w:val="0"/>
      <w:marTop w:val="0"/>
      <w:marBottom w:val="0"/>
      <w:divBdr>
        <w:top w:val="none" w:sz="0" w:space="0" w:color="auto"/>
        <w:left w:val="none" w:sz="0" w:space="0" w:color="auto"/>
        <w:bottom w:val="none" w:sz="0" w:space="0" w:color="auto"/>
        <w:right w:val="none" w:sz="0" w:space="0" w:color="auto"/>
      </w:divBdr>
    </w:div>
    <w:div w:id="1010721506">
      <w:bodyDiv w:val="1"/>
      <w:marLeft w:val="0"/>
      <w:marRight w:val="0"/>
      <w:marTop w:val="0"/>
      <w:marBottom w:val="0"/>
      <w:divBdr>
        <w:top w:val="none" w:sz="0" w:space="0" w:color="auto"/>
        <w:left w:val="none" w:sz="0" w:space="0" w:color="auto"/>
        <w:bottom w:val="none" w:sz="0" w:space="0" w:color="auto"/>
        <w:right w:val="none" w:sz="0" w:space="0" w:color="auto"/>
      </w:divBdr>
    </w:div>
    <w:div w:id="1066538279">
      <w:bodyDiv w:val="1"/>
      <w:marLeft w:val="0"/>
      <w:marRight w:val="0"/>
      <w:marTop w:val="0"/>
      <w:marBottom w:val="0"/>
      <w:divBdr>
        <w:top w:val="none" w:sz="0" w:space="0" w:color="auto"/>
        <w:left w:val="none" w:sz="0" w:space="0" w:color="auto"/>
        <w:bottom w:val="none" w:sz="0" w:space="0" w:color="auto"/>
        <w:right w:val="none" w:sz="0" w:space="0" w:color="auto"/>
      </w:divBdr>
    </w:div>
    <w:div w:id="1119452906">
      <w:bodyDiv w:val="1"/>
      <w:marLeft w:val="0"/>
      <w:marRight w:val="0"/>
      <w:marTop w:val="0"/>
      <w:marBottom w:val="0"/>
      <w:divBdr>
        <w:top w:val="none" w:sz="0" w:space="0" w:color="auto"/>
        <w:left w:val="none" w:sz="0" w:space="0" w:color="auto"/>
        <w:bottom w:val="none" w:sz="0" w:space="0" w:color="auto"/>
        <w:right w:val="none" w:sz="0" w:space="0" w:color="auto"/>
      </w:divBdr>
    </w:div>
    <w:div w:id="1206942744">
      <w:bodyDiv w:val="1"/>
      <w:marLeft w:val="0"/>
      <w:marRight w:val="0"/>
      <w:marTop w:val="0"/>
      <w:marBottom w:val="0"/>
      <w:divBdr>
        <w:top w:val="none" w:sz="0" w:space="0" w:color="auto"/>
        <w:left w:val="none" w:sz="0" w:space="0" w:color="auto"/>
        <w:bottom w:val="none" w:sz="0" w:space="0" w:color="auto"/>
        <w:right w:val="none" w:sz="0" w:space="0" w:color="auto"/>
      </w:divBdr>
      <w:divsChild>
        <w:div w:id="808786441">
          <w:marLeft w:val="0"/>
          <w:marRight w:val="0"/>
          <w:marTop w:val="0"/>
          <w:marBottom w:val="0"/>
          <w:divBdr>
            <w:top w:val="none" w:sz="0" w:space="0" w:color="auto"/>
            <w:left w:val="none" w:sz="0" w:space="0" w:color="auto"/>
            <w:bottom w:val="none" w:sz="0" w:space="0" w:color="auto"/>
            <w:right w:val="none" w:sz="0" w:space="0" w:color="auto"/>
          </w:divBdr>
          <w:divsChild>
            <w:div w:id="1662007995">
              <w:marLeft w:val="0"/>
              <w:marRight w:val="0"/>
              <w:marTop w:val="0"/>
              <w:marBottom w:val="0"/>
              <w:divBdr>
                <w:top w:val="none" w:sz="0" w:space="0" w:color="auto"/>
                <w:left w:val="none" w:sz="0" w:space="0" w:color="auto"/>
                <w:bottom w:val="none" w:sz="0" w:space="0" w:color="auto"/>
                <w:right w:val="none" w:sz="0" w:space="0" w:color="auto"/>
              </w:divBdr>
              <w:divsChild>
                <w:div w:id="5484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7833">
      <w:bodyDiv w:val="1"/>
      <w:marLeft w:val="0"/>
      <w:marRight w:val="0"/>
      <w:marTop w:val="0"/>
      <w:marBottom w:val="0"/>
      <w:divBdr>
        <w:top w:val="none" w:sz="0" w:space="0" w:color="auto"/>
        <w:left w:val="none" w:sz="0" w:space="0" w:color="auto"/>
        <w:bottom w:val="none" w:sz="0" w:space="0" w:color="auto"/>
        <w:right w:val="none" w:sz="0" w:space="0" w:color="auto"/>
      </w:divBdr>
      <w:divsChild>
        <w:div w:id="1255171081">
          <w:marLeft w:val="0"/>
          <w:marRight w:val="0"/>
          <w:marTop w:val="0"/>
          <w:marBottom w:val="0"/>
          <w:divBdr>
            <w:top w:val="none" w:sz="0" w:space="0" w:color="auto"/>
            <w:left w:val="none" w:sz="0" w:space="0" w:color="auto"/>
            <w:bottom w:val="none" w:sz="0" w:space="0" w:color="auto"/>
            <w:right w:val="none" w:sz="0" w:space="0" w:color="auto"/>
          </w:divBdr>
          <w:divsChild>
            <w:div w:id="371737113">
              <w:marLeft w:val="0"/>
              <w:marRight w:val="0"/>
              <w:marTop w:val="0"/>
              <w:marBottom w:val="0"/>
              <w:divBdr>
                <w:top w:val="none" w:sz="0" w:space="0" w:color="auto"/>
                <w:left w:val="none" w:sz="0" w:space="0" w:color="auto"/>
                <w:bottom w:val="none" w:sz="0" w:space="0" w:color="auto"/>
                <w:right w:val="none" w:sz="0" w:space="0" w:color="auto"/>
              </w:divBdr>
              <w:divsChild>
                <w:div w:id="5628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5792">
      <w:bodyDiv w:val="1"/>
      <w:marLeft w:val="0"/>
      <w:marRight w:val="0"/>
      <w:marTop w:val="0"/>
      <w:marBottom w:val="0"/>
      <w:divBdr>
        <w:top w:val="none" w:sz="0" w:space="0" w:color="auto"/>
        <w:left w:val="none" w:sz="0" w:space="0" w:color="auto"/>
        <w:bottom w:val="none" w:sz="0" w:space="0" w:color="auto"/>
        <w:right w:val="none" w:sz="0" w:space="0" w:color="auto"/>
      </w:divBdr>
      <w:divsChild>
        <w:div w:id="1802846037">
          <w:marLeft w:val="0"/>
          <w:marRight w:val="0"/>
          <w:marTop w:val="0"/>
          <w:marBottom w:val="0"/>
          <w:divBdr>
            <w:top w:val="none" w:sz="0" w:space="0" w:color="auto"/>
            <w:left w:val="none" w:sz="0" w:space="0" w:color="auto"/>
            <w:bottom w:val="none" w:sz="0" w:space="0" w:color="auto"/>
            <w:right w:val="none" w:sz="0" w:space="0" w:color="auto"/>
          </w:divBdr>
          <w:divsChild>
            <w:div w:id="852647642">
              <w:marLeft w:val="0"/>
              <w:marRight w:val="0"/>
              <w:marTop w:val="0"/>
              <w:marBottom w:val="0"/>
              <w:divBdr>
                <w:top w:val="none" w:sz="0" w:space="0" w:color="auto"/>
                <w:left w:val="none" w:sz="0" w:space="0" w:color="auto"/>
                <w:bottom w:val="none" w:sz="0" w:space="0" w:color="auto"/>
                <w:right w:val="none" w:sz="0" w:space="0" w:color="auto"/>
              </w:divBdr>
              <w:divsChild>
                <w:div w:id="15795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14000">
      <w:bodyDiv w:val="1"/>
      <w:marLeft w:val="0"/>
      <w:marRight w:val="0"/>
      <w:marTop w:val="0"/>
      <w:marBottom w:val="0"/>
      <w:divBdr>
        <w:top w:val="none" w:sz="0" w:space="0" w:color="auto"/>
        <w:left w:val="none" w:sz="0" w:space="0" w:color="auto"/>
        <w:bottom w:val="none" w:sz="0" w:space="0" w:color="auto"/>
        <w:right w:val="none" w:sz="0" w:space="0" w:color="auto"/>
      </w:divBdr>
      <w:divsChild>
        <w:div w:id="544298729">
          <w:marLeft w:val="0"/>
          <w:marRight w:val="0"/>
          <w:marTop w:val="0"/>
          <w:marBottom w:val="0"/>
          <w:divBdr>
            <w:top w:val="none" w:sz="0" w:space="0" w:color="auto"/>
            <w:left w:val="none" w:sz="0" w:space="0" w:color="auto"/>
            <w:bottom w:val="none" w:sz="0" w:space="0" w:color="auto"/>
            <w:right w:val="none" w:sz="0" w:space="0" w:color="auto"/>
          </w:divBdr>
        </w:div>
      </w:divsChild>
    </w:div>
    <w:div w:id="1305702482">
      <w:bodyDiv w:val="1"/>
      <w:marLeft w:val="0"/>
      <w:marRight w:val="0"/>
      <w:marTop w:val="0"/>
      <w:marBottom w:val="0"/>
      <w:divBdr>
        <w:top w:val="none" w:sz="0" w:space="0" w:color="auto"/>
        <w:left w:val="none" w:sz="0" w:space="0" w:color="auto"/>
        <w:bottom w:val="none" w:sz="0" w:space="0" w:color="auto"/>
        <w:right w:val="none" w:sz="0" w:space="0" w:color="auto"/>
      </w:divBdr>
    </w:div>
    <w:div w:id="1395200132">
      <w:bodyDiv w:val="1"/>
      <w:marLeft w:val="0"/>
      <w:marRight w:val="0"/>
      <w:marTop w:val="0"/>
      <w:marBottom w:val="0"/>
      <w:divBdr>
        <w:top w:val="none" w:sz="0" w:space="0" w:color="auto"/>
        <w:left w:val="none" w:sz="0" w:space="0" w:color="auto"/>
        <w:bottom w:val="none" w:sz="0" w:space="0" w:color="auto"/>
        <w:right w:val="none" w:sz="0" w:space="0" w:color="auto"/>
      </w:divBdr>
    </w:div>
    <w:div w:id="1435633472">
      <w:bodyDiv w:val="1"/>
      <w:marLeft w:val="0"/>
      <w:marRight w:val="0"/>
      <w:marTop w:val="0"/>
      <w:marBottom w:val="0"/>
      <w:divBdr>
        <w:top w:val="none" w:sz="0" w:space="0" w:color="auto"/>
        <w:left w:val="none" w:sz="0" w:space="0" w:color="auto"/>
        <w:bottom w:val="none" w:sz="0" w:space="0" w:color="auto"/>
        <w:right w:val="none" w:sz="0" w:space="0" w:color="auto"/>
      </w:divBdr>
    </w:div>
    <w:div w:id="1438452501">
      <w:bodyDiv w:val="1"/>
      <w:marLeft w:val="0"/>
      <w:marRight w:val="0"/>
      <w:marTop w:val="0"/>
      <w:marBottom w:val="0"/>
      <w:divBdr>
        <w:top w:val="none" w:sz="0" w:space="0" w:color="auto"/>
        <w:left w:val="none" w:sz="0" w:space="0" w:color="auto"/>
        <w:bottom w:val="none" w:sz="0" w:space="0" w:color="auto"/>
        <w:right w:val="none" w:sz="0" w:space="0" w:color="auto"/>
      </w:divBdr>
      <w:divsChild>
        <w:div w:id="875046824">
          <w:marLeft w:val="0"/>
          <w:marRight w:val="0"/>
          <w:marTop w:val="15"/>
          <w:marBottom w:val="0"/>
          <w:divBdr>
            <w:top w:val="none" w:sz="0" w:space="0" w:color="auto"/>
            <w:left w:val="none" w:sz="0" w:space="0" w:color="auto"/>
            <w:bottom w:val="none" w:sz="0" w:space="0" w:color="auto"/>
            <w:right w:val="none" w:sz="0" w:space="0" w:color="auto"/>
          </w:divBdr>
          <w:divsChild>
            <w:div w:id="531453873">
              <w:marLeft w:val="0"/>
              <w:marRight w:val="0"/>
              <w:marTop w:val="0"/>
              <w:marBottom w:val="0"/>
              <w:divBdr>
                <w:top w:val="none" w:sz="0" w:space="0" w:color="auto"/>
                <w:left w:val="none" w:sz="0" w:space="0" w:color="auto"/>
                <w:bottom w:val="none" w:sz="0" w:space="0" w:color="auto"/>
                <w:right w:val="none" w:sz="0" w:space="0" w:color="auto"/>
              </w:divBdr>
              <w:divsChild>
                <w:div w:id="786508137">
                  <w:marLeft w:val="0"/>
                  <w:marRight w:val="0"/>
                  <w:marTop w:val="0"/>
                  <w:marBottom w:val="0"/>
                  <w:divBdr>
                    <w:top w:val="none" w:sz="0" w:space="0" w:color="auto"/>
                    <w:left w:val="none" w:sz="0" w:space="0" w:color="auto"/>
                    <w:bottom w:val="none" w:sz="0" w:space="0" w:color="auto"/>
                    <w:right w:val="none" w:sz="0" w:space="0" w:color="auto"/>
                  </w:divBdr>
                </w:div>
                <w:div w:id="747657124">
                  <w:marLeft w:val="0"/>
                  <w:marRight w:val="0"/>
                  <w:marTop w:val="0"/>
                  <w:marBottom w:val="0"/>
                  <w:divBdr>
                    <w:top w:val="none" w:sz="0" w:space="0" w:color="auto"/>
                    <w:left w:val="none" w:sz="0" w:space="0" w:color="auto"/>
                    <w:bottom w:val="none" w:sz="0" w:space="0" w:color="auto"/>
                    <w:right w:val="none" w:sz="0" w:space="0" w:color="auto"/>
                  </w:divBdr>
                </w:div>
                <w:div w:id="1109160978">
                  <w:marLeft w:val="0"/>
                  <w:marRight w:val="0"/>
                  <w:marTop w:val="0"/>
                  <w:marBottom w:val="0"/>
                  <w:divBdr>
                    <w:top w:val="none" w:sz="0" w:space="0" w:color="auto"/>
                    <w:left w:val="none" w:sz="0" w:space="0" w:color="auto"/>
                    <w:bottom w:val="none" w:sz="0" w:space="0" w:color="auto"/>
                    <w:right w:val="none" w:sz="0" w:space="0" w:color="auto"/>
                  </w:divBdr>
                </w:div>
                <w:div w:id="167599277">
                  <w:marLeft w:val="0"/>
                  <w:marRight w:val="0"/>
                  <w:marTop w:val="0"/>
                  <w:marBottom w:val="0"/>
                  <w:divBdr>
                    <w:top w:val="none" w:sz="0" w:space="0" w:color="auto"/>
                    <w:left w:val="none" w:sz="0" w:space="0" w:color="auto"/>
                    <w:bottom w:val="none" w:sz="0" w:space="0" w:color="auto"/>
                    <w:right w:val="none" w:sz="0" w:space="0" w:color="auto"/>
                  </w:divBdr>
                </w:div>
                <w:div w:id="89395052">
                  <w:marLeft w:val="0"/>
                  <w:marRight w:val="0"/>
                  <w:marTop w:val="0"/>
                  <w:marBottom w:val="0"/>
                  <w:divBdr>
                    <w:top w:val="none" w:sz="0" w:space="0" w:color="auto"/>
                    <w:left w:val="none" w:sz="0" w:space="0" w:color="auto"/>
                    <w:bottom w:val="none" w:sz="0" w:space="0" w:color="auto"/>
                    <w:right w:val="none" w:sz="0" w:space="0" w:color="auto"/>
                  </w:divBdr>
                </w:div>
                <w:div w:id="1040010707">
                  <w:marLeft w:val="0"/>
                  <w:marRight w:val="0"/>
                  <w:marTop w:val="0"/>
                  <w:marBottom w:val="0"/>
                  <w:divBdr>
                    <w:top w:val="none" w:sz="0" w:space="0" w:color="auto"/>
                    <w:left w:val="none" w:sz="0" w:space="0" w:color="auto"/>
                    <w:bottom w:val="none" w:sz="0" w:space="0" w:color="auto"/>
                    <w:right w:val="none" w:sz="0" w:space="0" w:color="auto"/>
                  </w:divBdr>
                </w:div>
                <w:div w:id="609432810">
                  <w:marLeft w:val="0"/>
                  <w:marRight w:val="0"/>
                  <w:marTop w:val="0"/>
                  <w:marBottom w:val="0"/>
                  <w:divBdr>
                    <w:top w:val="none" w:sz="0" w:space="0" w:color="auto"/>
                    <w:left w:val="none" w:sz="0" w:space="0" w:color="auto"/>
                    <w:bottom w:val="none" w:sz="0" w:space="0" w:color="auto"/>
                    <w:right w:val="none" w:sz="0" w:space="0" w:color="auto"/>
                  </w:divBdr>
                </w:div>
                <w:div w:id="204951559">
                  <w:marLeft w:val="0"/>
                  <w:marRight w:val="0"/>
                  <w:marTop w:val="0"/>
                  <w:marBottom w:val="0"/>
                  <w:divBdr>
                    <w:top w:val="none" w:sz="0" w:space="0" w:color="auto"/>
                    <w:left w:val="none" w:sz="0" w:space="0" w:color="auto"/>
                    <w:bottom w:val="none" w:sz="0" w:space="0" w:color="auto"/>
                    <w:right w:val="none" w:sz="0" w:space="0" w:color="auto"/>
                  </w:divBdr>
                </w:div>
                <w:div w:id="1191801277">
                  <w:marLeft w:val="0"/>
                  <w:marRight w:val="0"/>
                  <w:marTop w:val="0"/>
                  <w:marBottom w:val="0"/>
                  <w:divBdr>
                    <w:top w:val="none" w:sz="0" w:space="0" w:color="auto"/>
                    <w:left w:val="none" w:sz="0" w:space="0" w:color="auto"/>
                    <w:bottom w:val="none" w:sz="0" w:space="0" w:color="auto"/>
                    <w:right w:val="none" w:sz="0" w:space="0" w:color="auto"/>
                  </w:divBdr>
                </w:div>
                <w:div w:id="4646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5999">
          <w:marLeft w:val="0"/>
          <w:marRight w:val="0"/>
          <w:marTop w:val="15"/>
          <w:marBottom w:val="0"/>
          <w:divBdr>
            <w:top w:val="none" w:sz="0" w:space="0" w:color="auto"/>
            <w:left w:val="none" w:sz="0" w:space="0" w:color="auto"/>
            <w:bottom w:val="none" w:sz="0" w:space="0" w:color="auto"/>
            <w:right w:val="none" w:sz="0" w:space="0" w:color="auto"/>
          </w:divBdr>
        </w:div>
      </w:divsChild>
    </w:div>
    <w:div w:id="1507477123">
      <w:bodyDiv w:val="1"/>
      <w:marLeft w:val="0"/>
      <w:marRight w:val="0"/>
      <w:marTop w:val="0"/>
      <w:marBottom w:val="0"/>
      <w:divBdr>
        <w:top w:val="none" w:sz="0" w:space="0" w:color="auto"/>
        <w:left w:val="none" w:sz="0" w:space="0" w:color="auto"/>
        <w:bottom w:val="none" w:sz="0" w:space="0" w:color="auto"/>
        <w:right w:val="none" w:sz="0" w:space="0" w:color="auto"/>
      </w:divBdr>
    </w:div>
    <w:div w:id="1515025213">
      <w:bodyDiv w:val="1"/>
      <w:marLeft w:val="0"/>
      <w:marRight w:val="0"/>
      <w:marTop w:val="0"/>
      <w:marBottom w:val="0"/>
      <w:divBdr>
        <w:top w:val="none" w:sz="0" w:space="0" w:color="auto"/>
        <w:left w:val="none" w:sz="0" w:space="0" w:color="auto"/>
        <w:bottom w:val="none" w:sz="0" w:space="0" w:color="auto"/>
        <w:right w:val="none" w:sz="0" w:space="0" w:color="auto"/>
      </w:divBdr>
    </w:div>
    <w:div w:id="1623993621">
      <w:bodyDiv w:val="1"/>
      <w:marLeft w:val="0"/>
      <w:marRight w:val="0"/>
      <w:marTop w:val="0"/>
      <w:marBottom w:val="0"/>
      <w:divBdr>
        <w:top w:val="none" w:sz="0" w:space="0" w:color="auto"/>
        <w:left w:val="none" w:sz="0" w:space="0" w:color="auto"/>
        <w:bottom w:val="none" w:sz="0" w:space="0" w:color="auto"/>
        <w:right w:val="none" w:sz="0" w:space="0" w:color="auto"/>
      </w:divBdr>
    </w:div>
    <w:div w:id="1633169567">
      <w:bodyDiv w:val="1"/>
      <w:marLeft w:val="0"/>
      <w:marRight w:val="0"/>
      <w:marTop w:val="0"/>
      <w:marBottom w:val="0"/>
      <w:divBdr>
        <w:top w:val="none" w:sz="0" w:space="0" w:color="auto"/>
        <w:left w:val="none" w:sz="0" w:space="0" w:color="auto"/>
        <w:bottom w:val="none" w:sz="0" w:space="0" w:color="auto"/>
        <w:right w:val="none" w:sz="0" w:space="0" w:color="auto"/>
      </w:divBdr>
    </w:div>
    <w:div w:id="1645045930">
      <w:bodyDiv w:val="1"/>
      <w:marLeft w:val="0"/>
      <w:marRight w:val="0"/>
      <w:marTop w:val="0"/>
      <w:marBottom w:val="0"/>
      <w:divBdr>
        <w:top w:val="none" w:sz="0" w:space="0" w:color="auto"/>
        <w:left w:val="none" w:sz="0" w:space="0" w:color="auto"/>
        <w:bottom w:val="none" w:sz="0" w:space="0" w:color="auto"/>
        <w:right w:val="none" w:sz="0" w:space="0" w:color="auto"/>
      </w:divBdr>
    </w:div>
    <w:div w:id="1647586629">
      <w:bodyDiv w:val="1"/>
      <w:marLeft w:val="0"/>
      <w:marRight w:val="0"/>
      <w:marTop w:val="0"/>
      <w:marBottom w:val="0"/>
      <w:divBdr>
        <w:top w:val="none" w:sz="0" w:space="0" w:color="auto"/>
        <w:left w:val="none" w:sz="0" w:space="0" w:color="auto"/>
        <w:bottom w:val="none" w:sz="0" w:space="0" w:color="auto"/>
        <w:right w:val="none" w:sz="0" w:space="0" w:color="auto"/>
      </w:divBdr>
    </w:div>
    <w:div w:id="1665083045">
      <w:bodyDiv w:val="1"/>
      <w:marLeft w:val="0"/>
      <w:marRight w:val="0"/>
      <w:marTop w:val="0"/>
      <w:marBottom w:val="0"/>
      <w:divBdr>
        <w:top w:val="none" w:sz="0" w:space="0" w:color="auto"/>
        <w:left w:val="none" w:sz="0" w:space="0" w:color="auto"/>
        <w:bottom w:val="none" w:sz="0" w:space="0" w:color="auto"/>
        <w:right w:val="none" w:sz="0" w:space="0" w:color="auto"/>
      </w:divBdr>
    </w:div>
    <w:div w:id="1680502993">
      <w:bodyDiv w:val="1"/>
      <w:marLeft w:val="0"/>
      <w:marRight w:val="0"/>
      <w:marTop w:val="0"/>
      <w:marBottom w:val="0"/>
      <w:divBdr>
        <w:top w:val="none" w:sz="0" w:space="0" w:color="auto"/>
        <w:left w:val="none" w:sz="0" w:space="0" w:color="auto"/>
        <w:bottom w:val="none" w:sz="0" w:space="0" w:color="auto"/>
        <w:right w:val="none" w:sz="0" w:space="0" w:color="auto"/>
      </w:divBdr>
    </w:div>
    <w:div w:id="1716854055">
      <w:bodyDiv w:val="1"/>
      <w:marLeft w:val="0"/>
      <w:marRight w:val="0"/>
      <w:marTop w:val="0"/>
      <w:marBottom w:val="0"/>
      <w:divBdr>
        <w:top w:val="none" w:sz="0" w:space="0" w:color="auto"/>
        <w:left w:val="none" w:sz="0" w:space="0" w:color="auto"/>
        <w:bottom w:val="none" w:sz="0" w:space="0" w:color="auto"/>
        <w:right w:val="none" w:sz="0" w:space="0" w:color="auto"/>
      </w:divBdr>
    </w:div>
    <w:div w:id="1725328130">
      <w:bodyDiv w:val="1"/>
      <w:marLeft w:val="0"/>
      <w:marRight w:val="0"/>
      <w:marTop w:val="0"/>
      <w:marBottom w:val="0"/>
      <w:divBdr>
        <w:top w:val="none" w:sz="0" w:space="0" w:color="auto"/>
        <w:left w:val="none" w:sz="0" w:space="0" w:color="auto"/>
        <w:bottom w:val="none" w:sz="0" w:space="0" w:color="auto"/>
        <w:right w:val="none" w:sz="0" w:space="0" w:color="auto"/>
      </w:divBdr>
    </w:div>
    <w:div w:id="1732460117">
      <w:bodyDiv w:val="1"/>
      <w:marLeft w:val="0"/>
      <w:marRight w:val="0"/>
      <w:marTop w:val="0"/>
      <w:marBottom w:val="0"/>
      <w:divBdr>
        <w:top w:val="none" w:sz="0" w:space="0" w:color="auto"/>
        <w:left w:val="none" w:sz="0" w:space="0" w:color="auto"/>
        <w:bottom w:val="none" w:sz="0" w:space="0" w:color="auto"/>
        <w:right w:val="none" w:sz="0" w:space="0" w:color="auto"/>
      </w:divBdr>
    </w:div>
    <w:div w:id="1791317400">
      <w:bodyDiv w:val="1"/>
      <w:marLeft w:val="0"/>
      <w:marRight w:val="0"/>
      <w:marTop w:val="0"/>
      <w:marBottom w:val="0"/>
      <w:divBdr>
        <w:top w:val="none" w:sz="0" w:space="0" w:color="auto"/>
        <w:left w:val="none" w:sz="0" w:space="0" w:color="auto"/>
        <w:bottom w:val="none" w:sz="0" w:space="0" w:color="auto"/>
        <w:right w:val="none" w:sz="0" w:space="0" w:color="auto"/>
      </w:divBdr>
    </w:div>
    <w:div w:id="1794979989">
      <w:bodyDiv w:val="1"/>
      <w:marLeft w:val="0"/>
      <w:marRight w:val="0"/>
      <w:marTop w:val="0"/>
      <w:marBottom w:val="0"/>
      <w:divBdr>
        <w:top w:val="none" w:sz="0" w:space="0" w:color="auto"/>
        <w:left w:val="none" w:sz="0" w:space="0" w:color="auto"/>
        <w:bottom w:val="none" w:sz="0" w:space="0" w:color="auto"/>
        <w:right w:val="none" w:sz="0" w:space="0" w:color="auto"/>
      </w:divBdr>
    </w:div>
    <w:div w:id="1801874274">
      <w:bodyDiv w:val="1"/>
      <w:marLeft w:val="0"/>
      <w:marRight w:val="0"/>
      <w:marTop w:val="0"/>
      <w:marBottom w:val="0"/>
      <w:divBdr>
        <w:top w:val="none" w:sz="0" w:space="0" w:color="auto"/>
        <w:left w:val="none" w:sz="0" w:space="0" w:color="auto"/>
        <w:bottom w:val="none" w:sz="0" w:space="0" w:color="auto"/>
        <w:right w:val="none" w:sz="0" w:space="0" w:color="auto"/>
      </w:divBdr>
    </w:div>
    <w:div w:id="1823303071">
      <w:bodyDiv w:val="1"/>
      <w:marLeft w:val="0"/>
      <w:marRight w:val="0"/>
      <w:marTop w:val="0"/>
      <w:marBottom w:val="0"/>
      <w:divBdr>
        <w:top w:val="none" w:sz="0" w:space="0" w:color="auto"/>
        <w:left w:val="none" w:sz="0" w:space="0" w:color="auto"/>
        <w:bottom w:val="none" w:sz="0" w:space="0" w:color="auto"/>
        <w:right w:val="none" w:sz="0" w:space="0" w:color="auto"/>
      </w:divBdr>
    </w:div>
    <w:div w:id="1994262050">
      <w:bodyDiv w:val="1"/>
      <w:marLeft w:val="0"/>
      <w:marRight w:val="0"/>
      <w:marTop w:val="0"/>
      <w:marBottom w:val="0"/>
      <w:divBdr>
        <w:top w:val="none" w:sz="0" w:space="0" w:color="auto"/>
        <w:left w:val="none" w:sz="0" w:space="0" w:color="auto"/>
        <w:bottom w:val="none" w:sz="0" w:space="0" w:color="auto"/>
        <w:right w:val="none" w:sz="0" w:space="0" w:color="auto"/>
      </w:divBdr>
    </w:div>
    <w:div w:id="2033338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https://doi.org/10.1038/s41467-020-18326-7" TargetMode="External"/><Relationship Id="rId26" Type="http://schemas.openxmlformats.org/officeDocument/2006/relationships/hyperlink" Target="https://doi.org/10.3390/agronomy9030127" TargetMode="External"/><Relationship Id="rId39" Type="http://schemas.openxmlformats.org/officeDocument/2006/relationships/hyperlink" Target="https://doi.org/10.3389/fenvs.2019.00185" TargetMode="External"/><Relationship Id="rId21" Type="http://schemas.openxmlformats.org/officeDocument/2006/relationships/hyperlink" Target="http://doi.org/10.1007/BF02370096" TargetMode="External"/><Relationship Id="rId34" Type="http://schemas.openxmlformats.org/officeDocument/2006/relationships/hyperlink" Target="https://doi.org/10.1017/9781316809785.016"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hart" Target="charts/chart9.xml"/><Relationship Id="rId20" Type="http://schemas.openxmlformats.org/officeDocument/2006/relationships/hyperlink" Target="https://doi.org/10.1080/01490451.2019.1658826" TargetMode="External"/><Relationship Id="rId29" Type="http://schemas.openxmlformats.org/officeDocument/2006/relationships/hyperlink" Target="https://doi.org/10.3389/fsufs.2021.606815"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doi.org/10.1007/s11104-012-1550-7" TargetMode="External"/><Relationship Id="rId32" Type="http://schemas.openxmlformats.org/officeDocument/2006/relationships/hyperlink" Target="https://dx.doi.org/10.3389%2Ffpls.2019.01618" TargetMode="External"/><Relationship Id="rId37" Type="http://schemas.openxmlformats.org/officeDocument/2006/relationships/hyperlink" Target="http://www.ucaldas.edu.co/portal/?s=sistema+granjas&amp;x=0&amp;y=0"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doi.org/10.3389/fpls.2020.00979" TargetMode="External"/><Relationship Id="rId28" Type="http://schemas.openxmlformats.org/officeDocument/2006/relationships/hyperlink" Target="https://doi.org/10.3389/fpls.2020.00633" TargetMode="External"/><Relationship Id="rId36" Type="http://schemas.openxmlformats.org/officeDocument/2006/relationships/hyperlink" Target="https://doi.org/10.3390/microorganisms9040870" TargetMode="External"/><Relationship Id="rId10" Type="http://schemas.openxmlformats.org/officeDocument/2006/relationships/chart" Target="charts/chart3.xml"/><Relationship Id="rId19" Type="http://schemas.openxmlformats.org/officeDocument/2006/relationships/hyperlink" Target="https://doi.org/10.1016/j.heliyon.2020.e05218" TargetMode="External"/><Relationship Id="rId31" Type="http://schemas.openxmlformats.org/officeDocument/2006/relationships/hyperlink" Target="http://doi.org/10.5897/AJB2017.16016"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doi.org/10.1111/nph.17074" TargetMode="External"/><Relationship Id="rId27" Type="http://schemas.openxmlformats.org/officeDocument/2006/relationships/hyperlink" Target="https://doi.org/10.3389/fpls.2019.01368" TargetMode="External"/><Relationship Id="rId30" Type="http://schemas.openxmlformats.org/officeDocument/2006/relationships/hyperlink" Target="https://doi.org/10.1016/B978-0-12-816328-3.00017-9" TargetMode="External"/><Relationship Id="rId35" Type="http://schemas.openxmlformats.org/officeDocument/2006/relationships/hyperlink" Target="https://dx.doi.org/10.3390%2Fmolecules24142558" TargetMode="External"/><Relationship Id="rId43" Type="http://schemas.openxmlformats.org/officeDocument/2006/relationships/theme" Target="theme/theme1.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hyperlink" Target="https://doi.org/10.3389/fmicb.2020.568289" TargetMode="External"/><Relationship Id="rId25" Type="http://schemas.openxmlformats.org/officeDocument/2006/relationships/hyperlink" Target="https://doi.org/10.3390/microorganisms9081619" TargetMode="External"/><Relationship Id="rId33" Type="http://schemas.openxmlformats.org/officeDocument/2006/relationships/hyperlink" Target="https://doi.org/10.3389/fsufs.2020.618425" TargetMode="External"/><Relationship Id="rId38" Type="http://schemas.openxmlformats.org/officeDocument/2006/relationships/hyperlink" Target="https://doi.org/10.1016/j.bcab.2021.10200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rcid.org/0000-0002-0471-308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Volumes\Macintosh%20HD\Users\gloriarestrepo\Documents\Gibi\2020\2020-1\ArticuloTatis\PlantGrowthRegulation\Graficas\Grafic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Volumes\Macintosh%20HD\Users\gloriarestrepo\Documents\Gibi\2020\2020-1\ArticuloTatis\PlantGrowthRegulation\Graficas\Grafica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Volumes\Macintosh%20HD\Users\gloriarestrepo\Documents\Gibi\2020\2020-1\ArticuloTatis\PlantGrowthRegulation\Graficas\Grafic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Volumes\Macintosh%20HD\Users\gloriarestrepo\Documents\Gibi\2020\2020-1\ArticuloTatis\PlantGrowthRegulation\Graficas\Grafica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Volumes\Macintosh%20HD\Users\gloriarestrepo\Documents\Gibi\2020\2020-1\ArticuloTatis\PlantGrowthRegulation\Graficas\Grafica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Volumes\Macintosh%20HD\Users\gloriarestrepo\Documents\Gibi\2020\2020-1\ArticuloTatis\PlantGrowthRegulation\Graficas\Grafica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Volumes\Macintosh%20HD\Users\gloriarestrepo\Documents\Gibi\2020\2020-1\ArticuloTatis\PlantGrowthRegulation\Graficas\Grafica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Volumes\Macintosh%20HD\Users\gloriarestrepo\Documents\Gibi\2020\2020-1\ArticuloTatis\PlantGrowthRegulation\Graficas\Grafica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Volumes\Macintosh%20HD\Users\gloriarestrepo\Documents\Gibi\2020\2020-1\ArticuloTatis\PlantGrowthRegulation\Graficas\Grafica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mg/l</c:v>
          </c:tx>
          <c:spPr>
            <a:ln w="12700" cap="rnd">
              <a:solidFill>
                <a:schemeClr val="tx1"/>
              </a:solidFill>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FosfatoTricalcico_GIBI025!$O$5:$O$15</c:f>
                <c:numCache>
                  <c:formatCode>General</c:formatCode>
                  <c:ptCount val="11"/>
                  <c:pt idx="0">
                    <c:v>1.2220201853215567</c:v>
                  </c:pt>
                  <c:pt idx="1">
                    <c:v>5.7379826110266858</c:v>
                  </c:pt>
                  <c:pt idx="2">
                    <c:v>24.182393350289956</c:v>
                  </c:pt>
                  <c:pt idx="3">
                    <c:v>9.2234805031827563</c:v>
                  </c:pt>
                  <c:pt idx="4">
                    <c:v>3.6008229512051737</c:v>
                  </c:pt>
                  <c:pt idx="5">
                    <c:v>0.46825127790456622</c:v>
                  </c:pt>
                  <c:pt idx="6">
                    <c:v>0.39999999999999858</c:v>
                  </c:pt>
                  <c:pt idx="7">
                    <c:v>0.75816542707697698</c:v>
                  </c:pt>
                  <c:pt idx="8">
                    <c:v>1.2812031382577425</c:v>
                  </c:pt>
                  <c:pt idx="9">
                    <c:v>0.63010875016701362</c:v>
                  </c:pt>
                  <c:pt idx="10">
                    <c:v>1.5568248789455121</c:v>
                  </c:pt>
                </c:numCache>
              </c:numRef>
            </c:plus>
            <c:minus>
              <c:numRef>
                <c:f>FosfatoTricalcico_GIBI025!$O$5:$O$15</c:f>
                <c:numCache>
                  <c:formatCode>General</c:formatCode>
                  <c:ptCount val="11"/>
                  <c:pt idx="0">
                    <c:v>1.2220201853215567</c:v>
                  </c:pt>
                  <c:pt idx="1">
                    <c:v>5.7379826110266858</c:v>
                  </c:pt>
                  <c:pt idx="2">
                    <c:v>24.182393350289956</c:v>
                  </c:pt>
                  <c:pt idx="3">
                    <c:v>9.2234805031827563</c:v>
                  </c:pt>
                  <c:pt idx="4">
                    <c:v>3.6008229512051737</c:v>
                  </c:pt>
                  <c:pt idx="5">
                    <c:v>0.46825127790456622</c:v>
                  </c:pt>
                  <c:pt idx="6">
                    <c:v>0.39999999999999858</c:v>
                  </c:pt>
                  <c:pt idx="7">
                    <c:v>0.75816542707697698</c:v>
                  </c:pt>
                  <c:pt idx="8">
                    <c:v>1.2812031382577425</c:v>
                  </c:pt>
                  <c:pt idx="9">
                    <c:v>0.63010875016701362</c:v>
                  </c:pt>
                  <c:pt idx="10">
                    <c:v>1.5568248789455121</c:v>
                  </c:pt>
                </c:numCache>
              </c:numRef>
            </c:minus>
            <c:spPr>
              <a:noFill/>
              <a:ln w="9525" cap="flat" cmpd="sng" algn="ctr">
                <a:solidFill>
                  <a:schemeClr val="tx1">
                    <a:lumMod val="65000"/>
                    <a:lumOff val="35000"/>
                  </a:schemeClr>
                </a:solidFill>
                <a:round/>
              </a:ln>
              <a:effectLst/>
            </c:spPr>
          </c:errBars>
          <c:cat>
            <c:numRef>
              <c:f>FosfatoTricalcico_GIBI025!$K$5:$K$15</c:f>
              <c:numCache>
                <c:formatCode>General</c:formatCode>
                <c:ptCount val="11"/>
                <c:pt idx="0">
                  <c:v>0</c:v>
                </c:pt>
                <c:pt idx="1">
                  <c:v>24</c:v>
                </c:pt>
                <c:pt idx="2">
                  <c:v>48</c:v>
                </c:pt>
                <c:pt idx="3">
                  <c:v>72</c:v>
                </c:pt>
                <c:pt idx="4">
                  <c:v>96</c:v>
                </c:pt>
                <c:pt idx="5">
                  <c:v>120</c:v>
                </c:pt>
                <c:pt idx="6">
                  <c:v>144</c:v>
                </c:pt>
                <c:pt idx="7">
                  <c:v>168</c:v>
                </c:pt>
                <c:pt idx="8">
                  <c:v>192</c:v>
                </c:pt>
                <c:pt idx="9">
                  <c:v>216</c:v>
                </c:pt>
                <c:pt idx="10">
                  <c:v>240</c:v>
                </c:pt>
              </c:numCache>
            </c:numRef>
          </c:cat>
          <c:val>
            <c:numRef>
              <c:f>FosfatoTricalcico_GIBI025!$P$5:$P$15</c:f>
              <c:numCache>
                <c:formatCode>0.000</c:formatCode>
                <c:ptCount val="11"/>
                <c:pt idx="0">
                  <c:v>23.506666666666671</c:v>
                </c:pt>
                <c:pt idx="1">
                  <c:v>478.17333333333335</c:v>
                </c:pt>
                <c:pt idx="2">
                  <c:v>479.32888888888891</c:v>
                </c:pt>
                <c:pt idx="3">
                  <c:v>382.79555555555561</c:v>
                </c:pt>
                <c:pt idx="4">
                  <c:v>108.61777777777779</c:v>
                </c:pt>
                <c:pt idx="5">
                  <c:v>24.617777777777778</c:v>
                </c:pt>
                <c:pt idx="6">
                  <c:v>19.506666666666664</c:v>
                </c:pt>
                <c:pt idx="7">
                  <c:v>16.262222222222221</c:v>
                </c:pt>
                <c:pt idx="8">
                  <c:v>20.884444444444444</c:v>
                </c:pt>
                <c:pt idx="9">
                  <c:v>23.951111111111107</c:v>
                </c:pt>
                <c:pt idx="10">
                  <c:v>36.084444444444443</c:v>
                </c:pt>
              </c:numCache>
            </c:numRef>
          </c:val>
          <c:smooth val="0"/>
          <c:extLst>
            <c:ext xmlns:c16="http://schemas.microsoft.com/office/drawing/2014/chart" uri="{C3380CC4-5D6E-409C-BE32-E72D297353CC}">
              <c16:uniqueId val="{00000000-59EC-094A-95D8-88139AA8C7A5}"/>
            </c:ext>
          </c:extLst>
        </c:ser>
        <c:dLbls>
          <c:showLegendKey val="0"/>
          <c:showVal val="0"/>
          <c:showCatName val="0"/>
          <c:showSerName val="0"/>
          <c:showPercent val="0"/>
          <c:showBubbleSize val="0"/>
        </c:dLbls>
        <c:marker val="1"/>
        <c:smooth val="0"/>
        <c:axId val="55609872"/>
        <c:axId val="76515584"/>
      </c:lineChart>
      <c:lineChart>
        <c:grouping val="standard"/>
        <c:varyColors val="0"/>
        <c:ser>
          <c:idx val="1"/>
          <c:order val="1"/>
          <c:tx>
            <c:v>pH</c:v>
          </c:tx>
          <c:spPr>
            <a:ln w="12700" cap="rnd">
              <a:solidFill>
                <a:schemeClr val="tx1"/>
              </a:solidFill>
              <a:prstDash val="sysDash"/>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FosfatoTricalcico_GIBI025!$T$5:$T$15</c:f>
                <c:numCache>
                  <c:formatCode>General</c:formatCode>
                  <c:ptCount val="11"/>
                  <c:pt idx="0">
                    <c:v>2.081665999466124E-2</c:v>
                  </c:pt>
                  <c:pt idx="1">
                    <c:v>2.0000000000000018E-2</c:v>
                  </c:pt>
                  <c:pt idx="2">
                    <c:v>0.51013070220614409</c:v>
                  </c:pt>
                  <c:pt idx="3">
                    <c:v>0.56320511361314873</c:v>
                  </c:pt>
                  <c:pt idx="4">
                    <c:v>0.48418316093533581</c:v>
                  </c:pt>
                  <c:pt idx="5">
                    <c:v>0.20550750189064468</c:v>
                  </c:pt>
                  <c:pt idx="6">
                    <c:v>2.9999999999999361E-2</c:v>
                  </c:pt>
                  <c:pt idx="7">
                    <c:v>2.6457513110646182E-2</c:v>
                  </c:pt>
                  <c:pt idx="8">
                    <c:v>4.725815626252592E-2</c:v>
                  </c:pt>
                  <c:pt idx="9">
                    <c:v>8.7177978870813647E-2</c:v>
                  </c:pt>
                  <c:pt idx="10">
                    <c:v>7.6376261582597069E-2</c:v>
                  </c:pt>
                </c:numCache>
              </c:numRef>
            </c:plus>
            <c:minus>
              <c:numRef>
                <c:f>FosfatoTricalcico_GIBI025!$T$5:$T$15</c:f>
                <c:numCache>
                  <c:formatCode>General</c:formatCode>
                  <c:ptCount val="11"/>
                  <c:pt idx="0">
                    <c:v>2.081665999466124E-2</c:v>
                  </c:pt>
                  <c:pt idx="1">
                    <c:v>2.0000000000000018E-2</c:v>
                  </c:pt>
                  <c:pt idx="2">
                    <c:v>0.51013070220614409</c:v>
                  </c:pt>
                  <c:pt idx="3">
                    <c:v>0.56320511361314873</c:v>
                  </c:pt>
                  <c:pt idx="4">
                    <c:v>0.48418316093533581</c:v>
                  </c:pt>
                  <c:pt idx="5">
                    <c:v>0.20550750189064468</c:v>
                  </c:pt>
                  <c:pt idx="6">
                    <c:v>2.9999999999999361E-2</c:v>
                  </c:pt>
                  <c:pt idx="7">
                    <c:v>2.6457513110646182E-2</c:v>
                  </c:pt>
                  <c:pt idx="8">
                    <c:v>4.725815626252592E-2</c:v>
                  </c:pt>
                  <c:pt idx="9">
                    <c:v>8.7177978870813647E-2</c:v>
                  </c:pt>
                  <c:pt idx="10">
                    <c:v>7.6376261582597069E-2</c:v>
                  </c:pt>
                </c:numCache>
              </c:numRef>
            </c:minus>
            <c:spPr>
              <a:noFill/>
              <a:ln w="9525" cap="flat" cmpd="sng" algn="ctr">
                <a:solidFill>
                  <a:schemeClr val="tx1">
                    <a:lumMod val="65000"/>
                    <a:lumOff val="35000"/>
                  </a:schemeClr>
                </a:solidFill>
                <a:round/>
              </a:ln>
              <a:effectLst/>
            </c:spPr>
          </c:errBars>
          <c:val>
            <c:numRef>
              <c:f>FosfatoTricalcico_GIBI025!$U$5:$U$15</c:f>
              <c:numCache>
                <c:formatCode>0.00</c:formatCode>
                <c:ptCount val="11"/>
                <c:pt idx="0">
                  <c:v>5.7633333333333328</c:v>
                </c:pt>
                <c:pt idx="1">
                  <c:v>4.1099999999999994</c:v>
                </c:pt>
                <c:pt idx="2">
                  <c:v>5.0233333333333334</c:v>
                </c:pt>
                <c:pt idx="3">
                  <c:v>5.9799999999999995</c:v>
                </c:pt>
                <c:pt idx="4">
                  <c:v>7.293333333333333</c:v>
                </c:pt>
                <c:pt idx="5">
                  <c:v>7.8466666666666667</c:v>
                </c:pt>
                <c:pt idx="6">
                  <c:v>8.01</c:v>
                </c:pt>
                <c:pt idx="7">
                  <c:v>7.95</c:v>
                </c:pt>
                <c:pt idx="8">
                  <c:v>7.916666666666667</c:v>
                </c:pt>
                <c:pt idx="9">
                  <c:v>7.84</c:v>
                </c:pt>
                <c:pt idx="10">
                  <c:v>7.7166666666666677</c:v>
                </c:pt>
              </c:numCache>
            </c:numRef>
          </c:val>
          <c:smooth val="0"/>
          <c:extLst>
            <c:ext xmlns:c16="http://schemas.microsoft.com/office/drawing/2014/chart" uri="{C3380CC4-5D6E-409C-BE32-E72D297353CC}">
              <c16:uniqueId val="{00000001-59EC-094A-95D8-88139AA8C7A5}"/>
            </c:ext>
          </c:extLst>
        </c:ser>
        <c:dLbls>
          <c:showLegendKey val="0"/>
          <c:showVal val="0"/>
          <c:showCatName val="0"/>
          <c:showSerName val="0"/>
          <c:showPercent val="0"/>
          <c:showBubbleSize val="0"/>
        </c:dLbls>
        <c:marker val="1"/>
        <c:smooth val="0"/>
        <c:axId val="56141632"/>
        <c:axId val="56765456"/>
      </c:lineChart>
      <c:catAx>
        <c:axId val="55609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76515584"/>
        <c:crosses val="autoZero"/>
        <c:auto val="1"/>
        <c:lblAlgn val="ctr"/>
        <c:lblOffset val="100"/>
        <c:noMultiLvlLbl val="0"/>
      </c:catAx>
      <c:valAx>
        <c:axId val="76515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5609872"/>
        <c:crosses val="autoZero"/>
        <c:crossBetween val="between"/>
      </c:valAx>
      <c:valAx>
        <c:axId val="567654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6141632"/>
        <c:crosses val="max"/>
        <c:crossBetween val="between"/>
      </c:valAx>
      <c:catAx>
        <c:axId val="56141632"/>
        <c:scaling>
          <c:orientation val="minMax"/>
        </c:scaling>
        <c:delete val="1"/>
        <c:axPos val="b"/>
        <c:majorTickMark val="out"/>
        <c:minorTickMark val="none"/>
        <c:tickLblPos val="nextTo"/>
        <c:crossAx val="56765456"/>
        <c:crosses val="autoZero"/>
        <c:auto val="1"/>
        <c:lblAlgn val="ctr"/>
        <c:lblOffset val="100"/>
        <c:noMultiLvlLbl val="0"/>
      </c:cat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mg/l</c:v>
          </c:tx>
          <c:spPr>
            <a:ln w="12700" cap="rnd">
              <a:solidFill>
                <a:schemeClr val="tx1"/>
              </a:solidFill>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FosfatoTricalcico_GIBI029!$O$5:$O$15</c:f>
                <c:numCache>
                  <c:formatCode>General</c:formatCode>
                  <c:ptCount val="11"/>
                  <c:pt idx="0">
                    <c:v>0.75816542707697765</c:v>
                  </c:pt>
                  <c:pt idx="1">
                    <c:v>1.8394846299177592</c:v>
                  </c:pt>
                  <c:pt idx="2">
                    <c:v>9.8678677947575935</c:v>
                  </c:pt>
                  <c:pt idx="3">
                    <c:v>13.238999626524302</c:v>
                  </c:pt>
                  <c:pt idx="4">
                    <c:v>9.6308147418893082</c:v>
                  </c:pt>
                  <c:pt idx="5">
                    <c:v>2.6766479866512913</c:v>
                  </c:pt>
                  <c:pt idx="6">
                    <c:v>0.53333333333333144</c:v>
                  </c:pt>
                  <c:pt idx="7">
                    <c:v>1.0007404665953505</c:v>
                  </c:pt>
                  <c:pt idx="8">
                    <c:v>0.74236858171067044</c:v>
                  </c:pt>
                  <c:pt idx="9">
                    <c:v>0.75816542707697598</c:v>
                  </c:pt>
                  <c:pt idx="10">
                    <c:v>0.63010875016701318</c:v>
                  </c:pt>
                </c:numCache>
              </c:numRef>
            </c:plus>
            <c:minus>
              <c:numRef>
                <c:f>FosfatoTricalcico_GIBI029!$O$5:$O$15</c:f>
                <c:numCache>
                  <c:formatCode>General</c:formatCode>
                  <c:ptCount val="11"/>
                  <c:pt idx="0">
                    <c:v>0.75816542707697765</c:v>
                  </c:pt>
                  <c:pt idx="1">
                    <c:v>1.8394846299177592</c:v>
                  </c:pt>
                  <c:pt idx="2">
                    <c:v>9.8678677947575935</c:v>
                  </c:pt>
                  <c:pt idx="3">
                    <c:v>13.238999626524302</c:v>
                  </c:pt>
                  <c:pt idx="4">
                    <c:v>9.6308147418893082</c:v>
                  </c:pt>
                  <c:pt idx="5">
                    <c:v>2.6766479866512913</c:v>
                  </c:pt>
                  <c:pt idx="6">
                    <c:v>0.53333333333333144</c:v>
                  </c:pt>
                  <c:pt idx="7">
                    <c:v>1.0007404665953505</c:v>
                  </c:pt>
                  <c:pt idx="8">
                    <c:v>0.74236858171067044</c:v>
                  </c:pt>
                  <c:pt idx="9">
                    <c:v>0.75816542707697598</c:v>
                  </c:pt>
                  <c:pt idx="10">
                    <c:v>0.63010875016701318</c:v>
                  </c:pt>
                </c:numCache>
              </c:numRef>
            </c:minus>
            <c:spPr>
              <a:noFill/>
              <a:ln w="9525" cap="flat" cmpd="sng" algn="ctr">
                <a:solidFill>
                  <a:schemeClr val="tx1">
                    <a:lumMod val="65000"/>
                    <a:lumOff val="35000"/>
                  </a:schemeClr>
                </a:solidFill>
                <a:round/>
              </a:ln>
              <a:effectLst/>
            </c:spPr>
          </c:errBars>
          <c:cat>
            <c:numRef>
              <c:f>FosfatoTricalcico_GIBI029!$K$5:$K$15</c:f>
              <c:numCache>
                <c:formatCode>General</c:formatCode>
                <c:ptCount val="11"/>
                <c:pt idx="0">
                  <c:v>0</c:v>
                </c:pt>
                <c:pt idx="1">
                  <c:v>24</c:v>
                </c:pt>
                <c:pt idx="2">
                  <c:v>48</c:v>
                </c:pt>
                <c:pt idx="3">
                  <c:v>72</c:v>
                </c:pt>
                <c:pt idx="4">
                  <c:v>96</c:v>
                </c:pt>
                <c:pt idx="5">
                  <c:v>120</c:v>
                </c:pt>
                <c:pt idx="6">
                  <c:v>144</c:v>
                </c:pt>
                <c:pt idx="7">
                  <c:v>168</c:v>
                </c:pt>
                <c:pt idx="8">
                  <c:v>192</c:v>
                </c:pt>
                <c:pt idx="9">
                  <c:v>216</c:v>
                </c:pt>
                <c:pt idx="10">
                  <c:v>240</c:v>
                </c:pt>
              </c:numCache>
            </c:numRef>
          </c:cat>
          <c:val>
            <c:numRef>
              <c:f>FosfatoTricalcico_GIBI029!$P$5:$P$15</c:f>
              <c:numCache>
                <c:formatCode>0.000</c:formatCode>
                <c:ptCount val="11"/>
                <c:pt idx="0">
                  <c:v>22.262222222222224</c:v>
                </c:pt>
                <c:pt idx="1">
                  <c:v>416.26222222222231</c:v>
                </c:pt>
                <c:pt idx="2">
                  <c:v>481.59555555555556</c:v>
                </c:pt>
                <c:pt idx="3">
                  <c:v>354.57333333333332</c:v>
                </c:pt>
                <c:pt idx="4">
                  <c:v>187.72888888888892</c:v>
                </c:pt>
                <c:pt idx="5">
                  <c:v>46.04</c:v>
                </c:pt>
                <c:pt idx="6">
                  <c:v>19.773333333333333</c:v>
                </c:pt>
                <c:pt idx="7">
                  <c:v>14.662222222222224</c:v>
                </c:pt>
                <c:pt idx="8">
                  <c:v>12.839999999999998</c:v>
                </c:pt>
                <c:pt idx="9">
                  <c:v>15.195555555555558</c:v>
                </c:pt>
                <c:pt idx="10">
                  <c:v>11.684444444444445</c:v>
                </c:pt>
              </c:numCache>
            </c:numRef>
          </c:val>
          <c:smooth val="0"/>
          <c:extLst>
            <c:ext xmlns:c16="http://schemas.microsoft.com/office/drawing/2014/chart" uri="{C3380CC4-5D6E-409C-BE32-E72D297353CC}">
              <c16:uniqueId val="{00000000-D513-9347-8547-AABBBE3D065D}"/>
            </c:ext>
          </c:extLst>
        </c:ser>
        <c:dLbls>
          <c:showLegendKey val="0"/>
          <c:showVal val="0"/>
          <c:showCatName val="0"/>
          <c:showSerName val="0"/>
          <c:showPercent val="0"/>
          <c:showBubbleSize val="0"/>
        </c:dLbls>
        <c:marker val="1"/>
        <c:smooth val="0"/>
        <c:axId val="55609872"/>
        <c:axId val="76515584"/>
      </c:lineChart>
      <c:lineChart>
        <c:grouping val="standard"/>
        <c:varyColors val="0"/>
        <c:ser>
          <c:idx val="1"/>
          <c:order val="1"/>
          <c:tx>
            <c:v>pH</c:v>
          </c:tx>
          <c:spPr>
            <a:ln w="12700" cap="rnd">
              <a:solidFill>
                <a:schemeClr val="tx1"/>
              </a:solidFill>
              <a:prstDash val="sysDash"/>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FosfatoTricalcico_GIBI029!$T$5:$T$15</c:f>
                <c:numCache>
                  <c:formatCode>General</c:formatCode>
                  <c:ptCount val="11"/>
                  <c:pt idx="0">
                    <c:v>1.5275252316519142E-2</c:v>
                  </c:pt>
                  <c:pt idx="1">
                    <c:v>4.0414518843273892E-2</c:v>
                  </c:pt>
                  <c:pt idx="2">
                    <c:v>0.65848310532617194</c:v>
                  </c:pt>
                  <c:pt idx="3">
                    <c:v>0.16522711641858312</c:v>
                  </c:pt>
                  <c:pt idx="4">
                    <c:v>0.33201405592735567</c:v>
                  </c:pt>
                  <c:pt idx="5">
                    <c:v>0.31770006819850294</c:v>
                  </c:pt>
                  <c:pt idx="6">
                    <c:v>6.5064070986477068E-2</c:v>
                  </c:pt>
                  <c:pt idx="7">
                    <c:v>0.12503332889007385</c:v>
                  </c:pt>
                  <c:pt idx="8">
                    <c:v>0.11846237095944527</c:v>
                  </c:pt>
                  <c:pt idx="9">
                    <c:v>8.1853527718724103E-2</c:v>
                  </c:pt>
                  <c:pt idx="10">
                    <c:v>0.11135528725660078</c:v>
                  </c:pt>
                </c:numCache>
              </c:numRef>
            </c:plus>
            <c:minus>
              <c:numRef>
                <c:f>FosfatoTricalcico_GIBI029!$T$5:$T$15</c:f>
                <c:numCache>
                  <c:formatCode>General</c:formatCode>
                  <c:ptCount val="11"/>
                  <c:pt idx="0">
                    <c:v>1.5275252316519142E-2</c:v>
                  </c:pt>
                  <c:pt idx="1">
                    <c:v>4.0414518843273892E-2</c:v>
                  </c:pt>
                  <c:pt idx="2">
                    <c:v>0.65848310532617194</c:v>
                  </c:pt>
                  <c:pt idx="3">
                    <c:v>0.16522711641858312</c:v>
                  </c:pt>
                  <c:pt idx="4">
                    <c:v>0.33201405592735567</c:v>
                  </c:pt>
                  <c:pt idx="5">
                    <c:v>0.31770006819850294</c:v>
                  </c:pt>
                  <c:pt idx="6">
                    <c:v>6.5064070986477068E-2</c:v>
                  </c:pt>
                  <c:pt idx="7">
                    <c:v>0.12503332889007385</c:v>
                  </c:pt>
                  <c:pt idx="8">
                    <c:v>0.11846237095944527</c:v>
                  </c:pt>
                  <c:pt idx="9">
                    <c:v>8.1853527718724103E-2</c:v>
                  </c:pt>
                  <c:pt idx="10">
                    <c:v>0.11135528725660078</c:v>
                  </c:pt>
                </c:numCache>
              </c:numRef>
            </c:minus>
            <c:spPr>
              <a:noFill/>
              <a:ln w="9525" cap="flat" cmpd="sng" algn="ctr">
                <a:solidFill>
                  <a:schemeClr val="tx1">
                    <a:lumMod val="65000"/>
                    <a:lumOff val="35000"/>
                  </a:schemeClr>
                </a:solidFill>
                <a:round/>
              </a:ln>
              <a:effectLst/>
            </c:spPr>
          </c:errBars>
          <c:val>
            <c:numRef>
              <c:f>FosfatoTricalcico_GIBI029!$U$5:$U$15</c:f>
              <c:numCache>
                <c:formatCode>0.00</c:formatCode>
                <c:ptCount val="11"/>
                <c:pt idx="0">
                  <c:v>5.746666666666667</c:v>
                </c:pt>
                <c:pt idx="1">
                  <c:v>4.1066666666666665</c:v>
                </c:pt>
                <c:pt idx="2">
                  <c:v>4.66</c:v>
                </c:pt>
                <c:pt idx="3">
                  <c:v>5.73</c:v>
                </c:pt>
                <c:pt idx="4">
                  <c:v>6.626666666666666</c:v>
                </c:pt>
                <c:pt idx="5">
                  <c:v>7.373333333333334</c:v>
                </c:pt>
                <c:pt idx="6">
                  <c:v>7.8033333333333337</c:v>
                </c:pt>
                <c:pt idx="7">
                  <c:v>7.8366666666666669</c:v>
                </c:pt>
                <c:pt idx="8">
                  <c:v>7.8933333333333335</c:v>
                </c:pt>
                <c:pt idx="9">
                  <c:v>7.94</c:v>
                </c:pt>
                <c:pt idx="10">
                  <c:v>7.8599999999999994</c:v>
                </c:pt>
              </c:numCache>
            </c:numRef>
          </c:val>
          <c:smooth val="0"/>
          <c:extLst>
            <c:ext xmlns:c16="http://schemas.microsoft.com/office/drawing/2014/chart" uri="{C3380CC4-5D6E-409C-BE32-E72D297353CC}">
              <c16:uniqueId val="{00000001-D513-9347-8547-AABBBE3D065D}"/>
            </c:ext>
          </c:extLst>
        </c:ser>
        <c:dLbls>
          <c:showLegendKey val="0"/>
          <c:showVal val="0"/>
          <c:showCatName val="0"/>
          <c:showSerName val="0"/>
          <c:showPercent val="0"/>
          <c:showBubbleSize val="0"/>
        </c:dLbls>
        <c:marker val="1"/>
        <c:smooth val="0"/>
        <c:axId val="56141632"/>
        <c:axId val="56765456"/>
      </c:lineChart>
      <c:catAx>
        <c:axId val="55609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76515584"/>
        <c:crosses val="autoZero"/>
        <c:auto val="1"/>
        <c:lblAlgn val="ctr"/>
        <c:lblOffset val="100"/>
        <c:noMultiLvlLbl val="0"/>
      </c:catAx>
      <c:valAx>
        <c:axId val="76515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5609872"/>
        <c:crosses val="autoZero"/>
        <c:crossBetween val="between"/>
      </c:valAx>
      <c:valAx>
        <c:axId val="567654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6141632"/>
        <c:crosses val="max"/>
        <c:crossBetween val="between"/>
      </c:valAx>
      <c:catAx>
        <c:axId val="56141632"/>
        <c:scaling>
          <c:orientation val="minMax"/>
        </c:scaling>
        <c:delete val="1"/>
        <c:axPos val="b"/>
        <c:majorTickMark val="out"/>
        <c:minorTickMark val="none"/>
        <c:tickLblPos val="nextTo"/>
        <c:crossAx val="56765456"/>
        <c:crosses val="autoZero"/>
        <c:auto val="1"/>
        <c:lblAlgn val="ctr"/>
        <c:lblOffset val="100"/>
        <c:noMultiLvlLbl val="0"/>
      </c:cat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mg/l</c:v>
          </c:tx>
          <c:spPr>
            <a:ln w="12700" cap="rnd">
              <a:solidFill>
                <a:schemeClr val="tx1"/>
              </a:solidFill>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FosfatoTricalcico_ATCC49037!$P$4:$P$14</c:f>
                <c:numCache>
                  <c:formatCode>General</c:formatCode>
                  <c:ptCount val="11"/>
                  <c:pt idx="0">
                    <c:v>1.2719189352225937</c:v>
                  </c:pt>
                  <c:pt idx="1">
                    <c:v>5.403428267039093</c:v>
                  </c:pt>
                  <c:pt idx="2">
                    <c:v>6.2144395772474361</c:v>
                  </c:pt>
                  <c:pt idx="3">
                    <c:v>12.685599885084095</c:v>
                  </c:pt>
                  <c:pt idx="4">
                    <c:v>8.7463008053563946</c:v>
                  </c:pt>
                  <c:pt idx="5">
                    <c:v>9.0571845842177954</c:v>
                  </c:pt>
                  <c:pt idx="6">
                    <c:v>3.365181190433058</c:v>
                  </c:pt>
                  <c:pt idx="7">
                    <c:v>0.93650255580913255</c:v>
                  </c:pt>
                  <c:pt idx="8">
                    <c:v>1.0183501544346294</c:v>
                  </c:pt>
                  <c:pt idx="9">
                    <c:v>0.93650255580913178</c:v>
                  </c:pt>
                  <c:pt idx="10">
                    <c:v>0.90758123807387314</c:v>
                  </c:pt>
                </c:numCache>
              </c:numRef>
            </c:plus>
            <c:minus>
              <c:numRef>
                <c:f>FosfatoTricalcico_ATCC49037!$P$4:$P$14</c:f>
                <c:numCache>
                  <c:formatCode>General</c:formatCode>
                  <c:ptCount val="11"/>
                  <c:pt idx="0">
                    <c:v>1.2719189352225937</c:v>
                  </c:pt>
                  <c:pt idx="1">
                    <c:v>5.403428267039093</c:v>
                  </c:pt>
                  <c:pt idx="2">
                    <c:v>6.2144395772474361</c:v>
                  </c:pt>
                  <c:pt idx="3">
                    <c:v>12.685599885084095</c:v>
                  </c:pt>
                  <c:pt idx="4">
                    <c:v>8.7463008053563946</c:v>
                  </c:pt>
                  <c:pt idx="5">
                    <c:v>9.0571845842177954</c:v>
                  </c:pt>
                  <c:pt idx="6">
                    <c:v>3.365181190433058</c:v>
                  </c:pt>
                  <c:pt idx="7">
                    <c:v>0.93650255580913255</c:v>
                  </c:pt>
                  <c:pt idx="8">
                    <c:v>1.0183501544346294</c:v>
                  </c:pt>
                  <c:pt idx="9">
                    <c:v>0.93650255580913178</c:v>
                  </c:pt>
                  <c:pt idx="10">
                    <c:v>0.90758123807387314</c:v>
                  </c:pt>
                </c:numCache>
              </c:numRef>
            </c:minus>
            <c:spPr>
              <a:noFill/>
              <a:ln w="9525" cap="flat" cmpd="sng" algn="ctr">
                <a:solidFill>
                  <a:schemeClr val="tx1">
                    <a:lumMod val="65000"/>
                    <a:lumOff val="35000"/>
                  </a:schemeClr>
                </a:solidFill>
                <a:round/>
              </a:ln>
              <a:effectLst/>
            </c:spPr>
          </c:errBars>
          <c:cat>
            <c:numRef>
              <c:f>FosfatoTricalcico_ATCC49037!$L$4:$L$14</c:f>
              <c:numCache>
                <c:formatCode>General</c:formatCode>
                <c:ptCount val="11"/>
                <c:pt idx="0">
                  <c:v>0</c:v>
                </c:pt>
                <c:pt idx="1">
                  <c:v>24</c:v>
                </c:pt>
                <c:pt idx="2">
                  <c:v>48</c:v>
                </c:pt>
                <c:pt idx="3">
                  <c:v>72</c:v>
                </c:pt>
                <c:pt idx="4">
                  <c:v>96</c:v>
                </c:pt>
                <c:pt idx="5">
                  <c:v>120</c:v>
                </c:pt>
                <c:pt idx="6">
                  <c:v>144</c:v>
                </c:pt>
                <c:pt idx="7">
                  <c:v>168</c:v>
                </c:pt>
                <c:pt idx="8">
                  <c:v>192</c:v>
                </c:pt>
                <c:pt idx="9">
                  <c:v>216</c:v>
                </c:pt>
                <c:pt idx="10">
                  <c:v>240</c:v>
                </c:pt>
              </c:numCache>
            </c:numRef>
          </c:cat>
          <c:val>
            <c:numRef>
              <c:f>FosfatoTricalcico_ATCC49037!$Q$4:$Q$14</c:f>
              <c:numCache>
                <c:formatCode>0.000</c:formatCode>
                <c:ptCount val="11"/>
                <c:pt idx="0">
                  <c:v>22.840000000000003</c:v>
                </c:pt>
                <c:pt idx="1">
                  <c:v>108.26222222222223</c:v>
                </c:pt>
                <c:pt idx="2">
                  <c:v>231.81777777777779</c:v>
                </c:pt>
                <c:pt idx="3">
                  <c:v>477.10666666666674</c:v>
                </c:pt>
                <c:pt idx="4">
                  <c:v>438.57333333333332</c:v>
                </c:pt>
                <c:pt idx="5">
                  <c:v>211.72888888888886</c:v>
                </c:pt>
                <c:pt idx="6">
                  <c:v>78.173333333333332</c:v>
                </c:pt>
                <c:pt idx="7">
                  <c:v>20.928888888888888</c:v>
                </c:pt>
                <c:pt idx="8">
                  <c:v>19.862222222222226</c:v>
                </c:pt>
                <c:pt idx="9">
                  <c:v>14.61777777777778</c:v>
                </c:pt>
                <c:pt idx="10">
                  <c:v>15.951111111111109</c:v>
                </c:pt>
              </c:numCache>
            </c:numRef>
          </c:val>
          <c:smooth val="0"/>
          <c:extLst>
            <c:ext xmlns:c16="http://schemas.microsoft.com/office/drawing/2014/chart" uri="{C3380CC4-5D6E-409C-BE32-E72D297353CC}">
              <c16:uniqueId val="{00000000-BDC7-3749-A4BD-F1E70FE03547}"/>
            </c:ext>
          </c:extLst>
        </c:ser>
        <c:dLbls>
          <c:showLegendKey val="0"/>
          <c:showVal val="0"/>
          <c:showCatName val="0"/>
          <c:showSerName val="0"/>
          <c:showPercent val="0"/>
          <c:showBubbleSize val="0"/>
        </c:dLbls>
        <c:marker val="1"/>
        <c:smooth val="0"/>
        <c:axId val="55609872"/>
        <c:axId val="76515584"/>
      </c:lineChart>
      <c:lineChart>
        <c:grouping val="standard"/>
        <c:varyColors val="0"/>
        <c:ser>
          <c:idx val="1"/>
          <c:order val="1"/>
          <c:tx>
            <c:v>pH</c:v>
          </c:tx>
          <c:spPr>
            <a:ln w="12700" cap="rnd">
              <a:solidFill>
                <a:schemeClr val="tx1"/>
              </a:solidFill>
              <a:prstDash val="sysDash"/>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FosfatoTricalcico_ATCC49037!$U$4:$U$14</c:f>
                <c:numCache>
                  <c:formatCode>General</c:formatCode>
                  <c:ptCount val="11"/>
                  <c:pt idx="0">
                    <c:v>6.8068592855540844E-2</c:v>
                  </c:pt>
                  <c:pt idx="1">
                    <c:v>2.0816659994661382E-2</c:v>
                  </c:pt>
                  <c:pt idx="2">
                    <c:v>9.8488578017960807E-2</c:v>
                  </c:pt>
                  <c:pt idx="3">
                    <c:v>9.2915732431775561E-2</c:v>
                  </c:pt>
                  <c:pt idx="4">
                    <c:v>0.50520622851795227</c:v>
                  </c:pt>
                  <c:pt idx="5">
                    <c:v>0.47465777145223259</c:v>
                  </c:pt>
                  <c:pt idx="6">
                    <c:v>0.36226141573914994</c:v>
                  </c:pt>
                  <c:pt idx="7">
                    <c:v>0.30859898466024382</c:v>
                  </c:pt>
                  <c:pt idx="8">
                    <c:v>8.0829037686547242E-2</c:v>
                  </c:pt>
                  <c:pt idx="9">
                    <c:v>0.15373136743466898</c:v>
                  </c:pt>
                  <c:pt idx="10">
                    <c:v>0.16093476939431051</c:v>
                  </c:pt>
                </c:numCache>
              </c:numRef>
            </c:plus>
            <c:minus>
              <c:numRef>
                <c:f>FosfatoTricalcico_ATCC49037!$U$4:$U$14</c:f>
                <c:numCache>
                  <c:formatCode>General</c:formatCode>
                  <c:ptCount val="11"/>
                  <c:pt idx="0">
                    <c:v>6.8068592855540844E-2</c:v>
                  </c:pt>
                  <c:pt idx="1">
                    <c:v>2.0816659994661382E-2</c:v>
                  </c:pt>
                  <c:pt idx="2">
                    <c:v>9.8488578017960807E-2</c:v>
                  </c:pt>
                  <c:pt idx="3">
                    <c:v>9.2915732431775561E-2</c:v>
                  </c:pt>
                  <c:pt idx="4">
                    <c:v>0.50520622851795227</c:v>
                  </c:pt>
                  <c:pt idx="5">
                    <c:v>0.47465777145223259</c:v>
                  </c:pt>
                  <c:pt idx="6">
                    <c:v>0.36226141573914994</c:v>
                  </c:pt>
                  <c:pt idx="7">
                    <c:v>0.30859898466024382</c:v>
                  </c:pt>
                  <c:pt idx="8">
                    <c:v>8.0829037686547242E-2</c:v>
                  </c:pt>
                  <c:pt idx="9">
                    <c:v>0.15373136743466898</c:v>
                  </c:pt>
                  <c:pt idx="10">
                    <c:v>0.16093476939431051</c:v>
                  </c:pt>
                </c:numCache>
              </c:numRef>
            </c:minus>
            <c:spPr>
              <a:noFill/>
              <a:ln w="9525" cap="flat" cmpd="sng" algn="ctr">
                <a:solidFill>
                  <a:schemeClr val="tx1">
                    <a:lumMod val="65000"/>
                    <a:lumOff val="35000"/>
                  </a:schemeClr>
                </a:solidFill>
                <a:round/>
              </a:ln>
              <a:effectLst/>
            </c:spPr>
          </c:errBars>
          <c:val>
            <c:numRef>
              <c:f>FosfatoTricalcico_ATCC49037!$V$4:$V$14</c:f>
              <c:numCache>
                <c:formatCode>0.00</c:formatCode>
                <c:ptCount val="11"/>
                <c:pt idx="0">
                  <c:v>5.9033333333333333</c:v>
                </c:pt>
                <c:pt idx="1">
                  <c:v>4.7233333333333336</c:v>
                </c:pt>
                <c:pt idx="2">
                  <c:v>4.2699999999999996</c:v>
                </c:pt>
                <c:pt idx="3">
                  <c:v>4.2266666666666675</c:v>
                </c:pt>
                <c:pt idx="4">
                  <c:v>5.3266666666666671</c:v>
                </c:pt>
                <c:pt idx="5">
                  <c:v>6</c:v>
                </c:pt>
                <c:pt idx="6">
                  <c:v>6.9933333333333332</c:v>
                </c:pt>
                <c:pt idx="7">
                  <c:v>7.7033333333333331</c:v>
                </c:pt>
                <c:pt idx="8">
                  <c:v>7.9433333333333325</c:v>
                </c:pt>
                <c:pt idx="9">
                  <c:v>8.0133333333333336</c:v>
                </c:pt>
                <c:pt idx="10">
                  <c:v>8.01</c:v>
                </c:pt>
              </c:numCache>
            </c:numRef>
          </c:val>
          <c:smooth val="0"/>
          <c:extLst>
            <c:ext xmlns:c16="http://schemas.microsoft.com/office/drawing/2014/chart" uri="{C3380CC4-5D6E-409C-BE32-E72D297353CC}">
              <c16:uniqueId val="{00000001-BDC7-3749-A4BD-F1E70FE03547}"/>
            </c:ext>
          </c:extLst>
        </c:ser>
        <c:dLbls>
          <c:showLegendKey val="0"/>
          <c:showVal val="0"/>
          <c:showCatName val="0"/>
          <c:showSerName val="0"/>
          <c:showPercent val="0"/>
          <c:showBubbleSize val="0"/>
        </c:dLbls>
        <c:marker val="1"/>
        <c:smooth val="0"/>
        <c:axId val="56141632"/>
        <c:axId val="56765456"/>
      </c:lineChart>
      <c:catAx>
        <c:axId val="55609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76515584"/>
        <c:crosses val="autoZero"/>
        <c:auto val="1"/>
        <c:lblAlgn val="ctr"/>
        <c:lblOffset val="100"/>
        <c:noMultiLvlLbl val="0"/>
      </c:catAx>
      <c:valAx>
        <c:axId val="76515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5609872"/>
        <c:crosses val="autoZero"/>
        <c:crossBetween val="between"/>
      </c:valAx>
      <c:valAx>
        <c:axId val="567654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6141632"/>
        <c:crosses val="max"/>
        <c:crossBetween val="between"/>
      </c:valAx>
      <c:catAx>
        <c:axId val="56141632"/>
        <c:scaling>
          <c:orientation val="minMax"/>
        </c:scaling>
        <c:delete val="1"/>
        <c:axPos val="b"/>
        <c:majorTickMark val="out"/>
        <c:minorTickMark val="none"/>
        <c:tickLblPos val="nextTo"/>
        <c:crossAx val="56765456"/>
        <c:crosses val="autoZero"/>
        <c:auto val="1"/>
        <c:lblAlgn val="ctr"/>
        <c:lblOffset val="100"/>
        <c:noMultiLvlLbl val="0"/>
      </c:cat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mg/l</c:v>
          </c:tx>
          <c:spPr>
            <a:ln w="12700" cap="rnd">
              <a:solidFill>
                <a:schemeClr val="tx1"/>
              </a:solidFill>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FosfatoAluminio_GIBI025!$O$4:$O$14</c:f>
                <c:numCache>
                  <c:formatCode>General</c:formatCode>
                  <c:ptCount val="11"/>
                  <c:pt idx="0">
                    <c:v>0.35276684147527904</c:v>
                  </c:pt>
                  <c:pt idx="1">
                    <c:v>1.0666666666666682</c:v>
                  </c:pt>
                  <c:pt idx="2">
                    <c:v>1.8330302779823404</c:v>
                  </c:pt>
                  <c:pt idx="3">
                    <c:v>4.0734006177385167</c:v>
                  </c:pt>
                  <c:pt idx="4">
                    <c:v>5.1369395702254677</c:v>
                  </c:pt>
                  <c:pt idx="5">
                    <c:v>5.5633722786733557</c:v>
                  </c:pt>
                  <c:pt idx="6">
                    <c:v>7.2000000000000028</c:v>
                  </c:pt>
                  <c:pt idx="7">
                    <c:v>3.1814275854530298</c:v>
                  </c:pt>
                  <c:pt idx="8">
                    <c:v>3.0022213997860541</c:v>
                  </c:pt>
                  <c:pt idx="9">
                    <c:v>2.8010580011713411</c:v>
                  </c:pt>
                  <c:pt idx="10">
                    <c:v>1.7638342073763955</c:v>
                  </c:pt>
                </c:numCache>
              </c:numRef>
            </c:plus>
            <c:minus>
              <c:numRef>
                <c:f>FosfatoAluminio_GIBI025!$O$4:$O$14</c:f>
                <c:numCache>
                  <c:formatCode>General</c:formatCode>
                  <c:ptCount val="11"/>
                  <c:pt idx="0">
                    <c:v>0.35276684147527904</c:v>
                  </c:pt>
                  <c:pt idx="1">
                    <c:v>1.0666666666666682</c:v>
                  </c:pt>
                  <c:pt idx="2">
                    <c:v>1.8330302779823404</c:v>
                  </c:pt>
                  <c:pt idx="3">
                    <c:v>4.0734006177385167</c:v>
                  </c:pt>
                  <c:pt idx="4">
                    <c:v>5.1369395702254677</c:v>
                  </c:pt>
                  <c:pt idx="5">
                    <c:v>5.5633722786733557</c:v>
                  </c:pt>
                  <c:pt idx="6">
                    <c:v>7.2000000000000028</c:v>
                  </c:pt>
                  <c:pt idx="7">
                    <c:v>3.1814275854530298</c:v>
                  </c:pt>
                  <c:pt idx="8">
                    <c:v>3.0022213997860541</c:v>
                  </c:pt>
                  <c:pt idx="9">
                    <c:v>2.8010580011713411</c:v>
                  </c:pt>
                  <c:pt idx="10">
                    <c:v>1.7638342073763955</c:v>
                  </c:pt>
                </c:numCache>
              </c:numRef>
            </c:minus>
            <c:spPr>
              <a:noFill/>
              <a:ln w="9525" cap="flat" cmpd="sng" algn="ctr">
                <a:solidFill>
                  <a:schemeClr val="tx1">
                    <a:lumMod val="65000"/>
                    <a:lumOff val="35000"/>
                  </a:schemeClr>
                </a:solidFill>
                <a:round/>
              </a:ln>
              <a:effectLst/>
            </c:spPr>
          </c:errBars>
          <c:cat>
            <c:numRef>
              <c:f>FosfatoAluminio_GIBI025!$K$4:$K$14</c:f>
              <c:numCache>
                <c:formatCode>General</c:formatCode>
                <c:ptCount val="11"/>
                <c:pt idx="0">
                  <c:v>0</c:v>
                </c:pt>
                <c:pt idx="1">
                  <c:v>24</c:v>
                </c:pt>
                <c:pt idx="2">
                  <c:v>48</c:v>
                </c:pt>
                <c:pt idx="3">
                  <c:v>72</c:v>
                </c:pt>
                <c:pt idx="4">
                  <c:v>96</c:v>
                </c:pt>
                <c:pt idx="5">
                  <c:v>120</c:v>
                </c:pt>
                <c:pt idx="6">
                  <c:v>144</c:v>
                </c:pt>
                <c:pt idx="7">
                  <c:v>168</c:v>
                </c:pt>
                <c:pt idx="8">
                  <c:v>192</c:v>
                </c:pt>
                <c:pt idx="9">
                  <c:v>216</c:v>
                </c:pt>
                <c:pt idx="10">
                  <c:v>240</c:v>
                </c:pt>
              </c:numCache>
            </c:numRef>
          </c:cat>
          <c:val>
            <c:numRef>
              <c:f>FosfatoAluminio_GIBI025!$P$4:$P$14</c:f>
              <c:numCache>
                <c:formatCode>0.000</c:formatCode>
                <c:ptCount val="11"/>
                <c:pt idx="0">
                  <c:v>7.373333333333334</c:v>
                </c:pt>
                <c:pt idx="1">
                  <c:v>21.373333333333335</c:v>
                </c:pt>
                <c:pt idx="2">
                  <c:v>41.506666666666668</c:v>
                </c:pt>
                <c:pt idx="3">
                  <c:v>96.262222222222235</c:v>
                </c:pt>
                <c:pt idx="4">
                  <c:v>111.59555555555556</c:v>
                </c:pt>
                <c:pt idx="5">
                  <c:v>110.84000000000002</c:v>
                </c:pt>
                <c:pt idx="6">
                  <c:v>200.43999999999997</c:v>
                </c:pt>
                <c:pt idx="7">
                  <c:v>74.751111111111115</c:v>
                </c:pt>
                <c:pt idx="8">
                  <c:v>93.506666666666675</c:v>
                </c:pt>
                <c:pt idx="9">
                  <c:v>145.41777777777779</c:v>
                </c:pt>
                <c:pt idx="10">
                  <c:v>132.17333333333332</c:v>
                </c:pt>
              </c:numCache>
            </c:numRef>
          </c:val>
          <c:smooth val="0"/>
          <c:extLst>
            <c:ext xmlns:c16="http://schemas.microsoft.com/office/drawing/2014/chart" uri="{C3380CC4-5D6E-409C-BE32-E72D297353CC}">
              <c16:uniqueId val="{00000000-607F-9041-84F6-45A7FDE750DF}"/>
            </c:ext>
          </c:extLst>
        </c:ser>
        <c:dLbls>
          <c:showLegendKey val="0"/>
          <c:showVal val="0"/>
          <c:showCatName val="0"/>
          <c:showSerName val="0"/>
          <c:showPercent val="0"/>
          <c:showBubbleSize val="0"/>
        </c:dLbls>
        <c:marker val="1"/>
        <c:smooth val="0"/>
        <c:axId val="55609872"/>
        <c:axId val="76515584"/>
      </c:lineChart>
      <c:lineChart>
        <c:grouping val="standard"/>
        <c:varyColors val="0"/>
        <c:ser>
          <c:idx val="1"/>
          <c:order val="1"/>
          <c:tx>
            <c:v>pH</c:v>
          </c:tx>
          <c:spPr>
            <a:ln w="12700" cap="rnd">
              <a:solidFill>
                <a:schemeClr val="tx1"/>
              </a:solidFill>
              <a:prstDash val="sysDash"/>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FosfatoAluminio_GIBI025!$T$4:$T$14</c:f>
                <c:numCache>
                  <c:formatCode>General</c:formatCode>
                  <c:ptCount val="11"/>
                  <c:pt idx="0">
                    <c:v>0.15620499351813297</c:v>
                  </c:pt>
                  <c:pt idx="1">
                    <c:v>2.3094010767584792E-2</c:v>
                  </c:pt>
                  <c:pt idx="2">
                    <c:v>1.1547005383792526E-2</c:v>
                  </c:pt>
                  <c:pt idx="3">
                    <c:v>1.0000000000000009E-2</c:v>
                  </c:pt>
                  <c:pt idx="4">
                    <c:v>1.7320508075688659E-2</c:v>
                  </c:pt>
                  <c:pt idx="5">
                    <c:v>1.9999999999999796E-2</c:v>
                  </c:pt>
                  <c:pt idx="6">
                    <c:v>1.0000000000000009E-2</c:v>
                  </c:pt>
                  <c:pt idx="7">
                    <c:v>5.7735026918961348E-3</c:v>
                  </c:pt>
                  <c:pt idx="8">
                    <c:v>5.7735026918961348E-3</c:v>
                  </c:pt>
                  <c:pt idx="9">
                    <c:v>5.7735026918961348E-3</c:v>
                  </c:pt>
                  <c:pt idx="10">
                    <c:v>1.1547005383792526E-2</c:v>
                  </c:pt>
                </c:numCache>
              </c:numRef>
            </c:plus>
            <c:minus>
              <c:numRef>
                <c:f>FosfatoAluminio_GIBI025!$T$4:$T$14</c:f>
                <c:numCache>
                  <c:formatCode>General</c:formatCode>
                  <c:ptCount val="11"/>
                  <c:pt idx="0">
                    <c:v>0.15620499351813297</c:v>
                  </c:pt>
                  <c:pt idx="1">
                    <c:v>2.3094010767584792E-2</c:v>
                  </c:pt>
                  <c:pt idx="2">
                    <c:v>1.1547005383792526E-2</c:v>
                  </c:pt>
                  <c:pt idx="3">
                    <c:v>1.0000000000000009E-2</c:v>
                  </c:pt>
                  <c:pt idx="4">
                    <c:v>1.7320508075688659E-2</c:v>
                  </c:pt>
                  <c:pt idx="5">
                    <c:v>1.9999999999999796E-2</c:v>
                  </c:pt>
                  <c:pt idx="6">
                    <c:v>1.0000000000000009E-2</c:v>
                  </c:pt>
                  <c:pt idx="7">
                    <c:v>5.7735026918961348E-3</c:v>
                  </c:pt>
                  <c:pt idx="8">
                    <c:v>5.7735026918961348E-3</c:v>
                  </c:pt>
                  <c:pt idx="9">
                    <c:v>5.7735026918961348E-3</c:v>
                  </c:pt>
                  <c:pt idx="10">
                    <c:v>1.1547005383792526E-2</c:v>
                  </c:pt>
                </c:numCache>
              </c:numRef>
            </c:minus>
            <c:spPr>
              <a:noFill/>
              <a:ln w="9525" cap="flat" cmpd="sng" algn="ctr">
                <a:solidFill>
                  <a:schemeClr val="tx1">
                    <a:lumMod val="65000"/>
                    <a:lumOff val="35000"/>
                  </a:schemeClr>
                </a:solidFill>
                <a:round/>
              </a:ln>
              <a:effectLst/>
            </c:spPr>
          </c:errBars>
          <c:val>
            <c:numRef>
              <c:f>FosfatoAluminio_GIBI025!$U$4:$U$14</c:f>
              <c:numCache>
                <c:formatCode>0.00</c:formatCode>
                <c:ptCount val="11"/>
                <c:pt idx="0">
                  <c:v>4.08</c:v>
                </c:pt>
                <c:pt idx="1">
                  <c:v>2.5166666666666662</c:v>
                </c:pt>
                <c:pt idx="2">
                  <c:v>2.5166666666666662</c:v>
                </c:pt>
                <c:pt idx="3">
                  <c:v>2.5199999999999996</c:v>
                </c:pt>
                <c:pt idx="4">
                  <c:v>2.5199999999999996</c:v>
                </c:pt>
                <c:pt idx="5">
                  <c:v>2.5099999999999998</c:v>
                </c:pt>
                <c:pt idx="6">
                  <c:v>2.5199999999999996</c:v>
                </c:pt>
                <c:pt idx="7">
                  <c:v>2.5233333333333334</c:v>
                </c:pt>
                <c:pt idx="8">
                  <c:v>2.5266666666666668</c:v>
                </c:pt>
                <c:pt idx="9">
                  <c:v>2.5266666666666668</c:v>
                </c:pt>
                <c:pt idx="10">
                  <c:v>2.5266666666666668</c:v>
                </c:pt>
              </c:numCache>
            </c:numRef>
          </c:val>
          <c:smooth val="0"/>
          <c:extLst>
            <c:ext xmlns:c16="http://schemas.microsoft.com/office/drawing/2014/chart" uri="{C3380CC4-5D6E-409C-BE32-E72D297353CC}">
              <c16:uniqueId val="{00000001-607F-9041-84F6-45A7FDE750DF}"/>
            </c:ext>
          </c:extLst>
        </c:ser>
        <c:dLbls>
          <c:showLegendKey val="0"/>
          <c:showVal val="0"/>
          <c:showCatName val="0"/>
          <c:showSerName val="0"/>
          <c:showPercent val="0"/>
          <c:showBubbleSize val="0"/>
        </c:dLbls>
        <c:marker val="1"/>
        <c:smooth val="0"/>
        <c:axId val="56141632"/>
        <c:axId val="56765456"/>
      </c:lineChart>
      <c:catAx>
        <c:axId val="55609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76515584"/>
        <c:crosses val="autoZero"/>
        <c:auto val="1"/>
        <c:lblAlgn val="ctr"/>
        <c:lblOffset val="100"/>
        <c:noMultiLvlLbl val="0"/>
      </c:catAx>
      <c:valAx>
        <c:axId val="76515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5609872"/>
        <c:crosses val="autoZero"/>
        <c:crossBetween val="between"/>
      </c:valAx>
      <c:valAx>
        <c:axId val="567654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6141632"/>
        <c:crosses val="max"/>
        <c:crossBetween val="between"/>
      </c:valAx>
      <c:catAx>
        <c:axId val="56141632"/>
        <c:scaling>
          <c:orientation val="minMax"/>
        </c:scaling>
        <c:delete val="1"/>
        <c:axPos val="b"/>
        <c:majorTickMark val="out"/>
        <c:minorTickMark val="none"/>
        <c:tickLblPos val="nextTo"/>
        <c:crossAx val="56765456"/>
        <c:crosses val="autoZero"/>
        <c:auto val="1"/>
        <c:lblAlgn val="ctr"/>
        <c:lblOffset val="100"/>
        <c:noMultiLvlLbl val="0"/>
      </c:cat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mg/l</c:v>
          </c:tx>
          <c:spPr>
            <a:ln w="12700" cap="rnd">
              <a:solidFill>
                <a:schemeClr val="tx1"/>
              </a:solidFill>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FosfatoAluminio_GIBI029!$O$4:$O$14</c:f>
                <c:numCache>
                  <c:formatCode>General</c:formatCode>
                  <c:ptCount val="11"/>
                  <c:pt idx="0">
                    <c:v>0.39999999999999797</c:v>
                  </c:pt>
                  <c:pt idx="1">
                    <c:v>1.4047538337136973</c:v>
                  </c:pt>
                  <c:pt idx="2">
                    <c:v>0.83266639978645296</c:v>
                  </c:pt>
                  <c:pt idx="3">
                    <c:v>3.1618091398813211</c:v>
                  </c:pt>
                  <c:pt idx="4">
                    <c:v>6.0315221345245238</c:v>
                  </c:pt>
                  <c:pt idx="5">
                    <c:v>4.7634410220312793</c:v>
                  </c:pt>
                  <c:pt idx="6">
                    <c:v>9.3247579652831334</c:v>
                  </c:pt>
                  <c:pt idx="7">
                    <c:v>2.2952446815422842</c:v>
                  </c:pt>
                  <c:pt idx="8">
                    <c:v>4.073400617738522</c:v>
                  </c:pt>
                  <c:pt idx="9">
                    <c:v>8.1216674077113904</c:v>
                  </c:pt>
                  <c:pt idx="10">
                    <c:v>2.3437861108329168</c:v>
                  </c:pt>
                </c:numCache>
              </c:numRef>
            </c:plus>
            <c:minus>
              <c:numRef>
                <c:f>FosfatoAluminio_GIBI029!$O$4:$O$14</c:f>
                <c:numCache>
                  <c:formatCode>General</c:formatCode>
                  <c:ptCount val="11"/>
                  <c:pt idx="0">
                    <c:v>0.39999999999999797</c:v>
                  </c:pt>
                  <c:pt idx="1">
                    <c:v>1.4047538337136973</c:v>
                  </c:pt>
                  <c:pt idx="2">
                    <c:v>0.83266639978645296</c:v>
                  </c:pt>
                  <c:pt idx="3">
                    <c:v>3.1618091398813211</c:v>
                  </c:pt>
                  <c:pt idx="4">
                    <c:v>6.0315221345245238</c:v>
                  </c:pt>
                  <c:pt idx="5">
                    <c:v>4.7634410220312793</c:v>
                  </c:pt>
                  <c:pt idx="6">
                    <c:v>9.3247579652831334</c:v>
                  </c:pt>
                  <c:pt idx="7">
                    <c:v>2.2952446815422842</c:v>
                  </c:pt>
                  <c:pt idx="8">
                    <c:v>4.073400617738522</c:v>
                  </c:pt>
                  <c:pt idx="9">
                    <c:v>8.1216674077113904</c:v>
                  </c:pt>
                  <c:pt idx="10">
                    <c:v>2.3437861108329168</c:v>
                  </c:pt>
                </c:numCache>
              </c:numRef>
            </c:minus>
            <c:spPr>
              <a:noFill/>
              <a:ln w="9525" cap="flat" cmpd="sng" algn="ctr">
                <a:solidFill>
                  <a:schemeClr val="tx1">
                    <a:lumMod val="65000"/>
                    <a:lumOff val="35000"/>
                  </a:schemeClr>
                </a:solidFill>
                <a:round/>
              </a:ln>
              <a:effectLst/>
            </c:spPr>
          </c:errBars>
          <c:cat>
            <c:numRef>
              <c:f>FosfatoAluminio_GIBI029!$K$4:$K$14</c:f>
              <c:numCache>
                <c:formatCode>General</c:formatCode>
                <c:ptCount val="11"/>
                <c:pt idx="0">
                  <c:v>0</c:v>
                </c:pt>
                <c:pt idx="1">
                  <c:v>24</c:v>
                </c:pt>
                <c:pt idx="2">
                  <c:v>48</c:v>
                </c:pt>
                <c:pt idx="3">
                  <c:v>72</c:v>
                </c:pt>
                <c:pt idx="4">
                  <c:v>96</c:v>
                </c:pt>
                <c:pt idx="5">
                  <c:v>120</c:v>
                </c:pt>
                <c:pt idx="6">
                  <c:v>144</c:v>
                </c:pt>
                <c:pt idx="7">
                  <c:v>168</c:v>
                </c:pt>
                <c:pt idx="8">
                  <c:v>192</c:v>
                </c:pt>
                <c:pt idx="9">
                  <c:v>216</c:v>
                </c:pt>
                <c:pt idx="10">
                  <c:v>240</c:v>
                </c:pt>
              </c:numCache>
            </c:numRef>
          </c:cat>
          <c:val>
            <c:numRef>
              <c:f>FosfatoAluminio_GIBI029!$P$4:$P$14</c:f>
              <c:numCache>
                <c:formatCode>0.000</c:formatCode>
                <c:ptCount val="11"/>
                <c:pt idx="0">
                  <c:v>1.7733333333333332</c:v>
                </c:pt>
                <c:pt idx="1">
                  <c:v>24.306666666666668</c:v>
                </c:pt>
                <c:pt idx="2">
                  <c:v>38.04</c:v>
                </c:pt>
                <c:pt idx="3">
                  <c:v>76.528888888888901</c:v>
                </c:pt>
                <c:pt idx="4">
                  <c:v>113.86222222222223</c:v>
                </c:pt>
                <c:pt idx="5">
                  <c:v>127.28444444444445</c:v>
                </c:pt>
                <c:pt idx="6">
                  <c:v>207.24</c:v>
                </c:pt>
                <c:pt idx="7">
                  <c:v>120.39555555555556</c:v>
                </c:pt>
                <c:pt idx="8">
                  <c:v>142.5288888888889</c:v>
                </c:pt>
                <c:pt idx="9">
                  <c:v>174.48444444444442</c:v>
                </c:pt>
                <c:pt idx="10">
                  <c:v>129.77333333333334</c:v>
                </c:pt>
              </c:numCache>
            </c:numRef>
          </c:val>
          <c:smooth val="0"/>
          <c:extLst>
            <c:ext xmlns:c16="http://schemas.microsoft.com/office/drawing/2014/chart" uri="{C3380CC4-5D6E-409C-BE32-E72D297353CC}">
              <c16:uniqueId val="{00000000-50FC-144F-B1CD-71C0F9B723E0}"/>
            </c:ext>
          </c:extLst>
        </c:ser>
        <c:dLbls>
          <c:showLegendKey val="0"/>
          <c:showVal val="0"/>
          <c:showCatName val="0"/>
          <c:showSerName val="0"/>
          <c:showPercent val="0"/>
          <c:showBubbleSize val="0"/>
        </c:dLbls>
        <c:marker val="1"/>
        <c:smooth val="0"/>
        <c:axId val="55609872"/>
        <c:axId val="76515584"/>
      </c:lineChart>
      <c:lineChart>
        <c:grouping val="standard"/>
        <c:varyColors val="0"/>
        <c:ser>
          <c:idx val="1"/>
          <c:order val="1"/>
          <c:tx>
            <c:v>pH</c:v>
          </c:tx>
          <c:spPr>
            <a:ln w="12700" cap="rnd">
              <a:solidFill>
                <a:schemeClr val="tx1"/>
              </a:solidFill>
              <a:prstDash val="sysDash"/>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FosfatoAluminio_GIBI029!$T$4:$T$14</c:f>
                <c:numCache>
                  <c:formatCode>General</c:formatCode>
                  <c:ptCount val="11"/>
                  <c:pt idx="0">
                    <c:v>5.0332229568471713E-2</c:v>
                  </c:pt>
                  <c:pt idx="1">
                    <c:v>1.5275252316519385E-2</c:v>
                  </c:pt>
                  <c:pt idx="2">
                    <c:v>1.5275252316519335E-2</c:v>
                  </c:pt>
                  <c:pt idx="3">
                    <c:v>1.154700538379227E-2</c:v>
                  </c:pt>
                  <c:pt idx="4">
                    <c:v>1.0000000000000009E-2</c:v>
                  </c:pt>
                  <c:pt idx="5">
                    <c:v>5.7735026918963907E-3</c:v>
                  </c:pt>
                  <c:pt idx="6">
                    <c:v>9.9999999999997868E-3</c:v>
                  </c:pt>
                  <c:pt idx="7">
                    <c:v>5.7735026918961348E-3</c:v>
                  </c:pt>
                  <c:pt idx="8">
                    <c:v>9.9999999999997868E-3</c:v>
                  </c:pt>
                  <c:pt idx="9">
                    <c:v>5.7735026918961348E-3</c:v>
                  </c:pt>
                  <c:pt idx="10">
                    <c:v>5.7735026918961348E-3</c:v>
                  </c:pt>
                </c:numCache>
              </c:numRef>
            </c:plus>
            <c:minus>
              <c:numRef>
                <c:f>FosfatoAluminio_GIBI029!$T$4:$T$14</c:f>
                <c:numCache>
                  <c:formatCode>General</c:formatCode>
                  <c:ptCount val="11"/>
                  <c:pt idx="0">
                    <c:v>5.0332229568471713E-2</c:v>
                  </c:pt>
                  <c:pt idx="1">
                    <c:v>1.5275252316519385E-2</c:v>
                  </c:pt>
                  <c:pt idx="2">
                    <c:v>1.5275252316519335E-2</c:v>
                  </c:pt>
                  <c:pt idx="3">
                    <c:v>1.154700538379227E-2</c:v>
                  </c:pt>
                  <c:pt idx="4">
                    <c:v>1.0000000000000009E-2</c:v>
                  </c:pt>
                  <c:pt idx="5">
                    <c:v>5.7735026918963907E-3</c:v>
                  </c:pt>
                  <c:pt idx="6">
                    <c:v>9.9999999999997868E-3</c:v>
                  </c:pt>
                  <c:pt idx="7">
                    <c:v>5.7735026918961348E-3</c:v>
                  </c:pt>
                  <c:pt idx="8">
                    <c:v>9.9999999999997868E-3</c:v>
                  </c:pt>
                  <c:pt idx="9">
                    <c:v>5.7735026918961348E-3</c:v>
                  </c:pt>
                  <c:pt idx="10">
                    <c:v>5.7735026918961348E-3</c:v>
                  </c:pt>
                </c:numCache>
              </c:numRef>
            </c:minus>
            <c:spPr>
              <a:noFill/>
              <a:ln w="9525" cap="flat" cmpd="sng" algn="ctr">
                <a:solidFill>
                  <a:schemeClr val="tx1">
                    <a:lumMod val="65000"/>
                    <a:lumOff val="35000"/>
                  </a:schemeClr>
                </a:solidFill>
                <a:round/>
              </a:ln>
              <a:effectLst/>
            </c:spPr>
          </c:errBars>
          <c:val>
            <c:numRef>
              <c:f>FosfatoAluminio_GIBI029!$U$44:$U$54</c:f>
              <c:numCache>
                <c:formatCode>0.00</c:formatCode>
                <c:ptCount val="11"/>
                <c:pt idx="0">
                  <c:v>3.9533333333333331</c:v>
                </c:pt>
                <c:pt idx="1">
                  <c:v>2.4833333333333338</c:v>
                </c:pt>
                <c:pt idx="2">
                  <c:v>2.4933333333333336</c:v>
                </c:pt>
                <c:pt idx="3">
                  <c:v>2.4966666666666666</c:v>
                </c:pt>
                <c:pt idx="4">
                  <c:v>2.4900000000000002</c:v>
                </c:pt>
                <c:pt idx="5">
                  <c:v>2.4866666666666668</c:v>
                </c:pt>
                <c:pt idx="6">
                  <c:v>2.5</c:v>
                </c:pt>
                <c:pt idx="7">
                  <c:v>2.4966666666666666</c:v>
                </c:pt>
                <c:pt idx="8">
                  <c:v>2.5</c:v>
                </c:pt>
                <c:pt idx="9">
                  <c:v>2.5066666666666664</c:v>
                </c:pt>
                <c:pt idx="10">
                  <c:v>2.5033333333333334</c:v>
                </c:pt>
              </c:numCache>
            </c:numRef>
          </c:val>
          <c:smooth val="0"/>
          <c:extLst>
            <c:ext xmlns:c16="http://schemas.microsoft.com/office/drawing/2014/chart" uri="{C3380CC4-5D6E-409C-BE32-E72D297353CC}">
              <c16:uniqueId val="{00000001-50FC-144F-B1CD-71C0F9B723E0}"/>
            </c:ext>
          </c:extLst>
        </c:ser>
        <c:dLbls>
          <c:showLegendKey val="0"/>
          <c:showVal val="0"/>
          <c:showCatName val="0"/>
          <c:showSerName val="0"/>
          <c:showPercent val="0"/>
          <c:showBubbleSize val="0"/>
        </c:dLbls>
        <c:marker val="1"/>
        <c:smooth val="0"/>
        <c:axId val="56141632"/>
        <c:axId val="56765456"/>
      </c:lineChart>
      <c:catAx>
        <c:axId val="55609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76515584"/>
        <c:crosses val="autoZero"/>
        <c:auto val="1"/>
        <c:lblAlgn val="ctr"/>
        <c:lblOffset val="100"/>
        <c:noMultiLvlLbl val="0"/>
      </c:catAx>
      <c:valAx>
        <c:axId val="76515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5609872"/>
        <c:crosses val="autoZero"/>
        <c:crossBetween val="between"/>
      </c:valAx>
      <c:valAx>
        <c:axId val="567654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6141632"/>
        <c:crosses val="max"/>
        <c:crossBetween val="between"/>
      </c:valAx>
      <c:catAx>
        <c:axId val="56141632"/>
        <c:scaling>
          <c:orientation val="minMax"/>
        </c:scaling>
        <c:delete val="1"/>
        <c:axPos val="b"/>
        <c:majorTickMark val="out"/>
        <c:minorTickMark val="none"/>
        <c:tickLblPos val="nextTo"/>
        <c:crossAx val="56765456"/>
        <c:crosses val="autoZero"/>
        <c:auto val="1"/>
        <c:lblAlgn val="ctr"/>
        <c:lblOffset val="100"/>
        <c:noMultiLvlLbl val="0"/>
      </c:cat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mg/l</c:v>
          </c:tx>
          <c:spPr>
            <a:ln w="12700" cap="rnd">
              <a:solidFill>
                <a:schemeClr val="tx1"/>
              </a:solidFill>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FosfatoAluminio_ATCC49037!$O$5:$O$15</c:f>
                <c:numCache>
                  <c:formatCode>General</c:formatCode>
                  <c:ptCount val="11"/>
                  <c:pt idx="0">
                    <c:v>0</c:v>
                  </c:pt>
                  <c:pt idx="1">
                    <c:v>0.53886025124364878</c:v>
                  </c:pt>
                  <c:pt idx="2">
                    <c:v>1.0913803695829929</c:v>
                  </c:pt>
                  <c:pt idx="3">
                    <c:v>1.6671110518676471</c:v>
                  </c:pt>
                  <c:pt idx="4">
                    <c:v>0.83266639978645407</c:v>
                  </c:pt>
                  <c:pt idx="5">
                    <c:v>1.2719189352225937</c:v>
                  </c:pt>
                  <c:pt idx="6">
                    <c:v>0.48074017006186354</c:v>
                  </c:pt>
                  <c:pt idx="7">
                    <c:v>0.7055336829505543</c:v>
                  </c:pt>
                  <c:pt idx="8">
                    <c:v>1.6293602470954116</c:v>
                  </c:pt>
                  <c:pt idx="9">
                    <c:v>1.0583005244258359</c:v>
                  </c:pt>
                  <c:pt idx="10">
                    <c:v>1.9337164371384121</c:v>
                  </c:pt>
                </c:numCache>
              </c:numRef>
            </c:plus>
            <c:minus>
              <c:numRef>
                <c:f>FosfatoAluminio_ATCC49037!$O$5:$O$15</c:f>
                <c:numCache>
                  <c:formatCode>General</c:formatCode>
                  <c:ptCount val="11"/>
                  <c:pt idx="0">
                    <c:v>0</c:v>
                  </c:pt>
                  <c:pt idx="1">
                    <c:v>0.53886025124364878</c:v>
                  </c:pt>
                  <c:pt idx="2">
                    <c:v>1.0913803695829929</c:v>
                  </c:pt>
                  <c:pt idx="3">
                    <c:v>1.6671110518676471</c:v>
                  </c:pt>
                  <c:pt idx="4">
                    <c:v>0.83266639978645407</c:v>
                  </c:pt>
                  <c:pt idx="5">
                    <c:v>1.2719189352225937</c:v>
                  </c:pt>
                  <c:pt idx="6">
                    <c:v>0.48074017006186354</c:v>
                  </c:pt>
                  <c:pt idx="7">
                    <c:v>0.7055336829505543</c:v>
                  </c:pt>
                  <c:pt idx="8">
                    <c:v>1.6293602470954116</c:v>
                  </c:pt>
                  <c:pt idx="9">
                    <c:v>1.0583005244258359</c:v>
                  </c:pt>
                  <c:pt idx="10">
                    <c:v>1.9337164371384121</c:v>
                  </c:pt>
                </c:numCache>
              </c:numRef>
            </c:minus>
            <c:spPr>
              <a:noFill/>
              <a:ln w="9525" cap="flat" cmpd="sng" algn="ctr">
                <a:solidFill>
                  <a:schemeClr val="tx1">
                    <a:lumMod val="65000"/>
                    <a:lumOff val="35000"/>
                  </a:schemeClr>
                </a:solidFill>
                <a:round/>
              </a:ln>
              <a:effectLst/>
            </c:spPr>
          </c:errBars>
          <c:cat>
            <c:numRef>
              <c:f>FosfatoAluminio_ATCC49037!$K$5:$K$15</c:f>
              <c:numCache>
                <c:formatCode>General</c:formatCode>
                <c:ptCount val="11"/>
                <c:pt idx="0">
                  <c:v>0</c:v>
                </c:pt>
                <c:pt idx="1">
                  <c:v>24</c:v>
                </c:pt>
                <c:pt idx="2">
                  <c:v>48</c:v>
                </c:pt>
                <c:pt idx="3">
                  <c:v>72</c:v>
                </c:pt>
                <c:pt idx="4">
                  <c:v>96</c:v>
                </c:pt>
                <c:pt idx="5">
                  <c:v>120</c:v>
                </c:pt>
                <c:pt idx="6">
                  <c:v>144</c:v>
                </c:pt>
                <c:pt idx="7">
                  <c:v>168</c:v>
                </c:pt>
                <c:pt idx="8">
                  <c:v>192</c:v>
                </c:pt>
                <c:pt idx="9">
                  <c:v>216</c:v>
                </c:pt>
                <c:pt idx="10">
                  <c:v>240</c:v>
                </c:pt>
              </c:numCache>
            </c:numRef>
          </c:cat>
          <c:val>
            <c:numRef>
              <c:f>FosfatoAluminio_ATCC49037!$P$5:$P$15</c:f>
              <c:numCache>
                <c:formatCode>0.000</c:formatCode>
                <c:ptCount val="11"/>
                <c:pt idx="0">
                  <c:v>0</c:v>
                </c:pt>
                <c:pt idx="1">
                  <c:v>14.928888888888887</c:v>
                </c:pt>
                <c:pt idx="2">
                  <c:v>15.64</c:v>
                </c:pt>
                <c:pt idx="3">
                  <c:v>29.062222222222221</c:v>
                </c:pt>
                <c:pt idx="4">
                  <c:v>17.373333333333335</c:v>
                </c:pt>
                <c:pt idx="5">
                  <c:v>20.040000000000003</c:v>
                </c:pt>
                <c:pt idx="6">
                  <c:v>19.506666666666668</c:v>
                </c:pt>
                <c:pt idx="7">
                  <c:v>30.306666666666668</c:v>
                </c:pt>
                <c:pt idx="8">
                  <c:v>36.662222222222226</c:v>
                </c:pt>
                <c:pt idx="9">
                  <c:v>23.773333333333337</c:v>
                </c:pt>
                <c:pt idx="10">
                  <c:v>37.062222222222225</c:v>
                </c:pt>
              </c:numCache>
            </c:numRef>
          </c:val>
          <c:smooth val="0"/>
          <c:extLst>
            <c:ext xmlns:c16="http://schemas.microsoft.com/office/drawing/2014/chart" uri="{C3380CC4-5D6E-409C-BE32-E72D297353CC}">
              <c16:uniqueId val="{00000000-9D88-2B42-ADB8-248C232A2ACF}"/>
            </c:ext>
          </c:extLst>
        </c:ser>
        <c:dLbls>
          <c:showLegendKey val="0"/>
          <c:showVal val="0"/>
          <c:showCatName val="0"/>
          <c:showSerName val="0"/>
          <c:showPercent val="0"/>
          <c:showBubbleSize val="0"/>
        </c:dLbls>
        <c:marker val="1"/>
        <c:smooth val="0"/>
        <c:axId val="55609872"/>
        <c:axId val="76515584"/>
      </c:lineChart>
      <c:lineChart>
        <c:grouping val="standard"/>
        <c:varyColors val="0"/>
        <c:ser>
          <c:idx val="1"/>
          <c:order val="1"/>
          <c:tx>
            <c:v>pH</c:v>
          </c:tx>
          <c:spPr>
            <a:ln w="12700" cap="rnd">
              <a:solidFill>
                <a:schemeClr val="tx1"/>
              </a:solidFill>
              <a:prstDash val="sysDash"/>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FosfatoAluminio_ATCC49037!$T$5:$T$15</c:f>
                <c:numCache>
                  <c:formatCode>General</c:formatCode>
                  <c:ptCount val="11"/>
                  <c:pt idx="0">
                    <c:v>2.3094010767585053E-2</c:v>
                  </c:pt>
                  <c:pt idx="1">
                    <c:v>1.0000000000000009E-2</c:v>
                  </c:pt>
                  <c:pt idx="2">
                    <c:v>1.0000000000000009E-2</c:v>
                  </c:pt>
                  <c:pt idx="3">
                    <c:v>2.0816659994661379E-2</c:v>
                  </c:pt>
                  <c:pt idx="4">
                    <c:v>3.5118845842842597E-2</c:v>
                  </c:pt>
                  <c:pt idx="5">
                    <c:v>2.6457513110645845E-2</c:v>
                  </c:pt>
                  <c:pt idx="6">
                    <c:v>3.2145502536643167E-2</c:v>
                  </c:pt>
                  <c:pt idx="7">
                    <c:v>5.1961524227066236E-2</c:v>
                  </c:pt>
                  <c:pt idx="8">
                    <c:v>7.2341781380702491E-2</c:v>
                  </c:pt>
                  <c:pt idx="9">
                    <c:v>8.3864970836060718E-2</c:v>
                  </c:pt>
                  <c:pt idx="10">
                    <c:v>7.0945988845975957E-2</c:v>
                  </c:pt>
                </c:numCache>
              </c:numRef>
            </c:plus>
            <c:minus>
              <c:numRef>
                <c:f>FosfatoAluminio_ATCC49037!$T$5:$T$15</c:f>
                <c:numCache>
                  <c:formatCode>General</c:formatCode>
                  <c:ptCount val="11"/>
                  <c:pt idx="0">
                    <c:v>2.3094010767585053E-2</c:v>
                  </c:pt>
                  <c:pt idx="1">
                    <c:v>1.0000000000000009E-2</c:v>
                  </c:pt>
                  <c:pt idx="2">
                    <c:v>1.0000000000000009E-2</c:v>
                  </c:pt>
                  <c:pt idx="3">
                    <c:v>2.0816659994661379E-2</c:v>
                  </c:pt>
                  <c:pt idx="4">
                    <c:v>3.5118845842842597E-2</c:v>
                  </c:pt>
                  <c:pt idx="5">
                    <c:v>2.6457513110645845E-2</c:v>
                  </c:pt>
                  <c:pt idx="6">
                    <c:v>3.2145502536643167E-2</c:v>
                  </c:pt>
                  <c:pt idx="7">
                    <c:v>5.1961524227066236E-2</c:v>
                  </c:pt>
                  <c:pt idx="8">
                    <c:v>7.2341781380702491E-2</c:v>
                  </c:pt>
                  <c:pt idx="9">
                    <c:v>8.3864970836060718E-2</c:v>
                  </c:pt>
                  <c:pt idx="10">
                    <c:v>7.0945988845975957E-2</c:v>
                  </c:pt>
                </c:numCache>
              </c:numRef>
            </c:minus>
            <c:spPr>
              <a:noFill/>
              <a:ln w="9525" cap="flat" cmpd="sng" algn="ctr">
                <a:solidFill>
                  <a:schemeClr val="tx1">
                    <a:lumMod val="65000"/>
                    <a:lumOff val="35000"/>
                  </a:schemeClr>
                </a:solidFill>
                <a:round/>
              </a:ln>
              <a:effectLst/>
            </c:spPr>
          </c:errBars>
          <c:val>
            <c:numRef>
              <c:f>FosfatoAluminio_ATCC49037!$U$5:$U$15</c:f>
              <c:numCache>
                <c:formatCode>0.00</c:formatCode>
                <c:ptCount val="11"/>
                <c:pt idx="0">
                  <c:v>4.9466666666666663</c:v>
                </c:pt>
                <c:pt idx="1">
                  <c:v>3.3499999999999996</c:v>
                </c:pt>
                <c:pt idx="2">
                  <c:v>3.34</c:v>
                </c:pt>
                <c:pt idx="3">
                  <c:v>3.3266666666666667</c:v>
                </c:pt>
                <c:pt idx="4">
                  <c:v>3.313333333333333</c:v>
                </c:pt>
                <c:pt idx="5">
                  <c:v>3.2600000000000002</c:v>
                </c:pt>
                <c:pt idx="6">
                  <c:v>3.2133333333333334</c:v>
                </c:pt>
                <c:pt idx="7">
                  <c:v>3.17</c:v>
                </c:pt>
                <c:pt idx="8">
                  <c:v>3.1166666666666667</c:v>
                </c:pt>
                <c:pt idx="9">
                  <c:v>3.0133333333333332</c:v>
                </c:pt>
                <c:pt idx="10">
                  <c:v>2.8733333333333331</c:v>
                </c:pt>
              </c:numCache>
            </c:numRef>
          </c:val>
          <c:smooth val="0"/>
          <c:extLst>
            <c:ext xmlns:c16="http://schemas.microsoft.com/office/drawing/2014/chart" uri="{C3380CC4-5D6E-409C-BE32-E72D297353CC}">
              <c16:uniqueId val="{00000001-9D88-2B42-ADB8-248C232A2ACF}"/>
            </c:ext>
          </c:extLst>
        </c:ser>
        <c:dLbls>
          <c:showLegendKey val="0"/>
          <c:showVal val="0"/>
          <c:showCatName val="0"/>
          <c:showSerName val="0"/>
          <c:showPercent val="0"/>
          <c:showBubbleSize val="0"/>
        </c:dLbls>
        <c:marker val="1"/>
        <c:smooth val="0"/>
        <c:axId val="56141632"/>
        <c:axId val="56765456"/>
      </c:lineChart>
      <c:catAx>
        <c:axId val="55609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76515584"/>
        <c:crosses val="autoZero"/>
        <c:auto val="1"/>
        <c:lblAlgn val="ctr"/>
        <c:lblOffset val="100"/>
        <c:noMultiLvlLbl val="0"/>
      </c:catAx>
      <c:valAx>
        <c:axId val="76515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5609872"/>
        <c:crosses val="autoZero"/>
        <c:crossBetween val="between"/>
      </c:valAx>
      <c:valAx>
        <c:axId val="567654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6141632"/>
        <c:crosses val="max"/>
        <c:crossBetween val="between"/>
      </c:valAx>
      <c:catAx>
        <c:axId val="56141632"/>
        <c:scaling>
          <c:orientation val="minMax"/>
        </c:scaling>
        <c:delete val="1"/>
        <c:axPos val="b"/>
        <c:majorTickMark val="out"/>
        <c:minorTickMark val="none"/>
        <c:tickLblPos val="nextTo"/>
        <c:crossAx val="56765456"/>
        <c:crosses val="autoZero"/>
        <c:auto val="1"/>
        <c:lblAlgn val="ctr"/>
        <c:lblOffset val="100"/>
        <c:noMultiLvlLbl val="0"/>
      </c:cat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mg/l</c:v>
          </c:tx>
          <c:spPr>
            <a:ln w="12700" cap="rnd">
              <a:solidFill>
                <a:schemeClr val="tx1"/>
              </a:solidFill>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FosfatoHierro_GIBI025!$O$5:$O$15</c:f>
                <c:numCache>
                  <c:formatCode>General</c:formatCode>
                  <c:ptCount val="11"/>
                  <c:pt idx="0">
                    <c:v>0.33554819712314377</c:v>
                  </c:pt>
                  <c:pt idx="1">
                    <c:v>0.68421352525958457</c:v>
                  </c:pt>
                  <c:pt idx="2">
                    <c:v>0.86752094648636202</c:v>
                  </c:pt>
                  <c:pt idx="3">
                    <c:v>0.93333333333333157</c:v>
                  </c:pt>
                  <c:pt idx="4">
                    <c:v>1.6000000000000014</c:v>
                  </c:pt>
                  <c:pt idx="5">
                    <c:v>2.8977641444805418</c:v>
                  </c:pt>
                  <c:pt idx="6">
                    <c:v>1.3920408678547425</c:v>
                  </c:pt>
                  <c:pt idx="7">
                    <c:v>1.4747253353810703</c:v>
                  </c:pt>
                  <c:pt idx="8">
                    <c:v>3.3766079845728978</c:v>
                  </c:pt>
                  <c:pt idx="9">
                    <c:v>1.8682532939541108</c:v>
                  </c:pt>
                  <c:pt idx="10">
                    <c:v>0.3079201435678014</c:v>
                  </c:pt>
                </c:numCache>
              </c:numRef>
            </c:plus>
            <c:minus>
              <c:numRef>
                <c:f>FosfatoHierro_GIBI025!$O$5:$O$15</c:f>
                <c:numCache>
                  <c:formatCode>General</c:formatCode>
                  <c:ptCount val="11"/>
                  <c:pt idx="0">
                    <c:v>0.33554819712314377</c:v>
                  </c:pt>
                  <c:pt idx="1">
                    <c:v>0.68421352525958457</c:v>
                  </c:pt>
                  <c:pt idx="2">
                    <c:v>0.86752094648636202</c:v>
                  </c:pt>
                  <c:pt idx="3">
                    <c:v>0.93333333333333157</c:v>
                  </c:pt>
                  <c:pt idx="4">
                    <c:v>1.6000000000000014</c:v>
                  </c:pt>
                  <c:pt idx="5">
                    <c:v>2.8977641444805418</c:v>
                  </c:pt>
                  <c:pt idx="6">
                    <c:v>1.3920408678547425</c:v>
                  </c:pt>
                  <c:pt idx="7">
                    <c:v>1.4747253353810703</c:v>
                  </c:pt>
                  <c:pt idx="8">
                    <c:v>3.3766079845728978</c:v>
                  </c:pt>
                  <c:pt idx="9">
                    <c:v>1.8682532939541108</c:v>
                  </c:pt>
                  <c:pt idx="10">
                    <c:v>0.3079201435678014</c:v>
                  </c:pt>
                </c:numCache>
              </c:numRef>
            </c:minus>
            <c:spPr>
              <a:noFill/>
              <a:ln w="9525" cap="flat" cmpd="sng" algn="ctr">
                <a:solidFill>
                  <a:schemeClr val="tx1">
                    <a:lumMod val="65000"/>
                    <a:lumOff val="35000"/>
                  </a:schemeClr>
                </a:solidFill>
                <a:round/>
              </a:ln>
              <a:effectLst/>
            </c:spPr>
          </c:errBars>
          <c:cat>
            <c:numRef>
              <c:f>FosfatoHierro_GIBI025!$K$5:$K$15</c:f>
              <c:numCache>
                <c:formatCode>General</c:formatCode>
                <c:ptCount val="11"/>
                <c:pt idx="0">
                  <c:v>0</c:v>
                </c:pt>
                <c:pt idx="1">
                  <c:v>24</c:v>
                </c:pt>
                <c:pt idx="2">
                  <c:v>48</c:v>
                </c:pt>
                <c:pt idx="3">
                  <c:v>72</c:v>
                </c:pt>
                <c:pt idx="4">
                  <c:v>96</c:v>
                </c:pt>
                <c:pt idx="5">
                  <c:v>120</c:v>
                </c:pt>
                <c:pt idx="6">
                  <c:v>144</c:v>
                </c:pt>
                <c:pt idx="7">
                  <c:v>168</c:v>
                </c:pt>
                <c:pt idx="8">
                  <c:v>192</c:v>
                </c:pt>
                <c:pt idx="9">
                  <c:v>216</c:v>
                </c:pt>
                <c:pt idx="10">
                  <c:v>240</c:v>
                </c:pt>
              </c:numCache>
            </c:numRef>
          </c:cat>
          <c:val>
            <c:numRef>
              <c:f>FosfatoHierro_GIBI025!$P$5:$P$15</c:f>
              <c:numCache>
                <c:formatCode>0.000</c:formatCode>
                <c:ptCount val="11"/>
                <c:pt idx="0">
                  <c:v>2.0844444444444439</c:v>
                </c:pt>
                <c:pt idx="1">
                  <c:v>7.7288888888888891</c:v>
                </c:pt>
                <c:pt idx="2">
                  <c:v>21.551111111111112</c:v>
                </c:pt>
                <c:pt idx="3">
                  <c:v>32.840000000000003</c:v>
                </c:pt>
                <c:pt idx="4">
                  <c:v>36.573333333333331</c:v>
                </c:pt>
                <c:pt idx="5">
                  <c:v>92.217777777777783</c:v>
                </c:pt>
                <c:pt idx="6">
                  <c:v>27.64</c:v>
                </c:pt>
                <c:pt idx="7">
                  <c:v>34.484444444444442</c:v>
                </c:pt>
                <c:pt idx="8">
                  <c:v>64.084444444444443</c:v>
                </c:pt>
                <c:pt idx="9">
                  <c:v>35.195555555555558</c:v>
                </c:pt>
                <c:pt idx="10">
                  <c:v>31.551111111111112</c:v>
                </c:pt>
              </c:numCache>
            </c:numRef>
          </c:val>
          <c:smooth val="0"/>
          <c:extLst>
            <c:ext xmlns:c16="http://schemas.microsoft.com/office/drawing/2014/chart" uri="{C3380CC4-5D6E-409C-BE32-E72D297353CC}">
              <c16:uniqueId val="{00000000-D245-DD4E-A63D-7DC4E56AAB05}"/>
            </c:ext>
          </c:extLst>
        </c:ser>
        <c:dLbls>
          <c:showLegendKey val="0"/>
          <c:showVal val="0"/>
          <c:showCatName val="0"/>
          <c:showSerName val="0"/>
          <c:showPercent val="0"/>
          <c:showBubbleSize val="0"/>
        </c:dLbls>
        <c:marker val="1"/>
        <c:smooth val="0"/>
        <c:axId val="55609872"/>
        <c:axId val="76515584"/>
      </c:lineChart>
      <c:lineChart>
        <c:grouping val="standard"/>
        <c:varyColors val="0"/>
        <c:ser>
          <c:idx val="1"/>
          <c:order val="1"/>
          <c:tx>
            <c:v>pH</c:v>
          </c:tx>
          <c:spPr>
            <a:ln w="12700" cap="rnd">
              <a:solidFill>
                <a:schemeClr val="tx1"/>
              </a:solidFill>
              <a:prstDash val="sysDash"/>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FosfatoHierro_GIBI025!$T$5:$T$15</c:f>
                <c:numCache>
                  <c:formatCode>General</c:formatCode>
                  <c:ptCount val="11"/>
                  <c:pt idx="0">
                    <c:v>4.9328828623162742E-2</c:v>
                  </c:pt>
                  <c:pt idx="1">
                    <c:v>2.0816659994661132E-2</c:v>
                  </c:pt>
                  <c:pt idx="2">
                    <c:v>1.5275252316519385E-2</c:v>
                  </c:pt>
                  <c:pt idx="3">
                    <c:v>2.6457513110646012E-2</c:v>
                  </c:pt>
                  <c:pt idx="4">
                    <c:v>1.1547005383792526E-2</c:v>
                  </c:pt>
                  <c:pt idx="5">
                    <c:v>1.0000000000000009E-2</c:v>
                  </c:pt>
                  <c:pt idx="6">
                    <c:v>5.7735026918961348E-3</c:v>
                  </c:pt>
                  <c:pt idx="7">
                    <c:v>1.7320508075688662E-2</c:v>
                  </c:pt>
                  <c:pt idx="8">
                    <c:v>5.7735026918963907E-3</c:v>
                  </c:pt>
                  <c:pt idx="9">
                    <c:v>5.7735026918961348E-3</c:v>
                  </c:pt>
                  <c:pt idx="10">
                    <c:v>1.0000000000000009E-2</c:v>
                  </c:pt>
                </c:numCache>
              </c:numRef>
            </c:plus>
            <c:minus>
              <c:numRef>
                <c:f>FosfatoHierro_GIBI025!$T$5:$T$15</c:f>
                <c:numCache>
                  <c:formatCode>General</c:formatCode>
                  <c:ptCount val="11"/>
                  <c:pt idx="0">
                    <c:v>4.9328828623162742E-2</c:v>
                  </c:pt>
                  <c:pt idx="1">
                    <c:v>2.0816659994661132E-2</c:v>
                  </c:pt>
                  <c:pt idx="2">
                    <c:v>1.5275252316519385E-2</c:v>
                  </c:pt>
                  <c:pt idx="3">
                    <c:v>2.6457513110646012E-2</c:v>
                  </c:pt>
                  <c:pt idx="4">
                    <c:v>1.1547005383792526E-2</c:v>
                  </c:pt>
                  <c:pt idx="5">
                    <c:v>1.0000000000000009E-2</c:v>
                  </c:pt>
                  <c:pt idx="6">
                    <c:v>5.7735026918961348E-3</c:v>
                  </c:pt>
                  <c:pt idx="7">
                    <c:v>1.7320508075688662E-2</c:v>
                  </c:pt>
                  <c:pt idx="8">
                    <c:v>5.7735026918963907E-3</c:v>
                  </c:pt>
                  <c:pt idx="9">
                    <c:v>5.7735026918961348E-3</c:v>
                  </c:pt>
                  <c:pt idx="10">
                    <c:v>1.0000000000000009E-2</c:v>
                  </c:pt>
                </c:numCache>
              </c:numRef>
            </c:minus>
            <c:spPr>
              <a:noFill/>
              <a:ln w="9525" cap="flat" cmpd="sng" algn="ctr">
                <a:solidFill>
                  <a:schemeClr val="tx1">
                    <a:lumMod val="65000"/>
                    <a:lumOff val="35000"/>
                  </a:schemeClr>
                </a:solidFill>
                <a:round/>
              </a:ln>
              <a:effectLst/>
            </c:spPr>
          </c:errBars>
          <c:val>
            <c:numRef>
              <c:f>FosfatoHierro_GIBI025!$U$5:$U$15</c:f>
              <c:numCache>
                <c:formatCode>0.00</c:formatCode>
                <c:ptCount val="11"/>
                <c:pt idx="0">
                  <c:v>4.1566666666666663</c:v>
                </c:pt>
                <c:pt idx="1">
                  <c:v>2.5133333333333332</c:v>
                </c:pt>
                <c:pt idx="2">
                  <c:v>2.4866666666666668</c:v>
                </c:pt>
                <c:pt idx="3">
                  <c:v>2.4299999999999997</c:v>
                </c:pt>
                <c:pt idx="4">
                  <c:v>2.4133333333333336</c:v>
                </c:pt>
                <c:pt idx="5">
                  <c:v>2.3800000000000003</c:v>
                </c:pt>
                <c:pt idx="6">
                  <c:v>2.3933333333333331</c:v>
                </c:pt>
                <c:pt idx="7">
                  <c:v>2.4</c:v>
                </c:pt>
                <c:pt idx="8">
                  <c:v>2.3866666666666667</c:v>
                </c:pt>
                <c:pt idx="9">
                  <c:v>2.3966666666666665</c:v>
                </c:pt>
                <c:pt idx="10">
                  <c:v>2.39</c:v>
                </c:pt>
              </c:numCache>
            </c:numRef>
          </c:val>
          <c:smooth val="0"/>
          <c:extLst>
            <c:ext xmlns:c16="http://schemas.microsoft.com/office/drawing/2014/chart" uri="{C3380CC4-5D6E-409C-BE32-E72D297353CC}">
              <c16:uniqueId val="{00000001-D245-DD4E-A63D-7DC4E56AAB05}"/>
            </c:ext>
          </c:extLst>
        </c:ser>
        <c:dLbls>
          <c:showLegendKey val="0"/>
          <c:showVal val="0"/>
          <c:showCatName val="0"/>
          <c:showSerName val="0"/>
          <c:showPercent val="0"/>
          <c:showBubbleSize val="0"/>
        </c:dLbls>
        <c:marker val="1"/>
        <c:smooth val="0"/>
        <c:axId val="56141632"/>
        <c:axId val="56765456"/>
      </c:lineChart>
      <c:catAx>
        <c:axId val="55609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76515584"/>
        <c:crosses val="autoZero"/>
        <c:auto val="1"/>
        <c:lblAlgn val="ctr"/>
        <c:lblOffset val="100"/>
        <c:noMultiLvlLbl val="0"/>
      </c:catAx>
      <c:valAx>
        <c:axId val="76515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5609872"/>
        <c:crosses val="autoZero"/>
        <c:crossBetween val="between"/>
      </c:valAx>
      <c:valAx>
        <c:axId val="567654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6141632"/>
        <c:crosses val="max"/>
        <c:crossBetween val="between"/>
      </c:valAx>
      <c:catAx>
        <c:axId val="56141632"/>
        <c:scaling>
          <c:orientation val="minMax"/>
        </c:scaling>
        <c:delete val="1"/>
        <c:axPos val="b"/>
        <c:majorTickMark val="out"/>
        <c:minorTickMark val="none"/>
        <c:tickLblPos val="nextTo"/>
        <c:crossAx val="56765456"/>
        <c:crosses val="autoZero"/>
        <c:auto val="1"/>
        <c:lblAlgn val="ctr"/>
        <c:lblOffset val="100"/>
        <c:noMultiLvlLbl val="0"/>
      </c:cat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05948890279929"/>
          <c:y val="6.6985645933014357E-2"/>
          <c:w val="0.68353792596009177"/>
          <c:h val="0.74697773424254987"/>
        </c:manualLayout>
      </c:layout>
      <c:lineChart>
        <c:grouping val="standard"/>
        <c:varyColors val="0"/>
        <c:ser>
          <c:idx val="0"/>
          <c:order val="0"/>
          <c:tx>
            <c:v>mg/l</c:v>
          </c:tx>
          <c:spPr>
            <a:ln w="12700" cap="rnd">
              <a:solidFill>
                <a:schemeClr val="tx1"/>
              </a:solidFill>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FosfatoHierro_GIBI029!$O$4:$O$14</c:f>
                <c:numCache>
                  <c:formatCode>General</c:formatCode>
                  <c:ptCount val="11"/>
                  <c:pt idx="0">
                    <c:v>0.40000000000000047</c:v>
                  </c:pt>
                  <c:pt idx="1">
                    <c:v>0.87432513657359989</c:v>
                  </c:pt>
                  <c:pt idx="2">
                    <c:v>1.0859370420329428</c:v>
                  </c:pt>
                  <c:pt idx="3">
                    <c:v>2.2363992222949598</c:v>
                  </c:pt>
                  <c:pt idx="4">
                    <c:v>1.0859370420329479</c:v>
                  </c:pt>
                  <c:pt idx="5">
                    <c:v>5.171431494635085</c:v>
                  </c:pt>
                  <c:pt idx="6">
                    <c:v>1.8330302779823366</c:v>
                  </c:pt>
                  <c:pt idx="7">
                    <c:v>1.3877773329774237</c:v>
                  </c:pt>
                  <c:pt idx="8">
                    <c:v>3.228576110873608</c:v>
                  </c:pt>
                  <c:pt idx="9">
                    <c:v>2.0954978194002316</c:v>
                  </c:pt>
                  <c:pt idx="10">
                    <c:v>2.4306682513556064</c:v>
                  </c:pt>
                </c:numCache>
              </c:numRef>
            </c:plus>
            <c:minus>
              <c:numRef>
                <c:f>FosfatoHierro_GIBI029!$O$4:$O$14</c:f>
                <c:numCache>
                  <c:formatCode>General</c:formatCode>
                  <c:ptCount val="11"/>
                  <c:pt idx="0">
                    <c:v>0.40000000000000047</c:v>
                  </c:pt>
                  <c:pt idx="1">
                    <c:v>0.87432513657359989</c:v>
                  </c:pt>
                  <c:pt idx="2">
                    <c:v>1.0859370420329428</c:v>
                  </c:pt>
                  <c:pt idx="3">
                    <c:v>2.2363992222949598</c:v>
                  </c:pt>
                  <c:pt idx="4">
                    <c:v>1.0859370420329479</c:v>
                  </c:pt>
                  <c:pt idx="5">
                    <c:v>5.171431494635085</c:v>
                  </c:pt>
                  <c:pt idx="6">
                    <c:v>1.8330302779823366</c:v>
                  </c:pt>
                  <c:pt idx="7">
                    <c:v>1.3877773329774237</c:v>
                  </c:pt>
                  <c:pt idx="8">
                    <c:v>3.228576110873608</c:v>
                  </c:pt>
                  <c:pt idx="9">
                    <c:v>2.0954978194002316</c:v>
                  </c:pt>
                  <c:pt idx="10">
                    <c:v>2.4306682513556064</c:v>
                  </c:pt>
                </c:numCache>
              </c:numRef>
            </c:minus>
            <c:spPr>
              <a:noFill/>
              <a:ln w="9525" cap="flat" cmpd="sng" algn="ctr">
                <a:solidFill>
                  <a:schemeClr val="tx1">
                    <a:lumMod val="65000"/>
                    <a:lumOff val="35000"/>
                  </a:schemeClr>
                </a:solidFill>
                <a:round/>
              </a:ln>
              <a:effectLst/>
            </c:spPr>
          </c:errBars>
          <c:cat>
            <c:numRef>
              <c:f>FosfatoHierro_GIBI029!$K$4:$K$14</c:f>
              <c:numCache>
                <c:formatCode>General</c:formatCode>
                <c:ptCount val="11"/>
                <c:pt idx="0">
                  <c:v>0</c:v>
                </c:pt>
                <c:pt idx="1">
                  <c:v>24</c:v>
                </c:pt>
                <c:pt idx="2">
                  <c:v>48</c:v>
                </c:pt>
                <c:pt idx="3">
                  <c:v>72</c:v>
                </c:pt>
                <c:pt idx="4">
                  <c:v>96</c:v>
                </c:pt>
                <c:pt idx="5">
                  <c:v>120</c:v>
                </c:pt>
                <c:pt idx="6">
                  <c:v>144</c:v>
                </c:pt>
                <c:pt idx="7">
                  <c:v>168</c:v>
                </c:pt>
                <c:pt idx="8">
                  <c:v>192</c:v>
                </c:pt>
                <c:pt idx="9">
                  <c:v>216</c:v>
                </c:pt>
                <c:pt idx="10">
                  <c:v>240</c:v>
                </c:pt>
              </c:numCache>
            </c:numRef>
          </c:cat>
          <c:val>
            <c:numRef>
              <c:f>FosfatoHierro_GIBI029!$P$4:$P$14</c:f>
              <c:numCache>
                <c:formatCode>0.000</c:formatCode>
                <c:ptCount val="11"/>
                <c:pt idx="0">
                  <c:v>1.1066666666666669</c:v>
                </c:pt>
                <c:pt idx="1">
                  <c:v>11.773333333333333</c:v>
                </c:pt>
                <c:pt idx="2">
                  <c:v>15.417777777777777</c:v>
                </c:pt>
                <c:pt idx="3">
                  <c:v>55.195555555555558</c:v>
                </c:pt>
                <c:pt idx="4">
                  <c:v>55.551111111111119</c:v>
                </c:pt>
                <c:pt idx="5">
                  <c:v>102.61777777777779</c:v>
                </c:pt>
                <c:pt idx="6">
                  <c:v>39.506666666666668</c:v>
                </c:pt>
                <c:pt idx="7">
                  <c:v>48.528888888888879</c:v>
                </c:pt>
                <c:pt idx="8">
                  <c:v>71.017777777777781</c:v>
                </c:pt>
                <c:pt idx="9">
                  <c:v>56.173333333333339</c:v>
                </c:pt>
                <c:pt idx="10">
                  <c:v>46.351111111111116</c:v>
                </c:pt>
              </c:numCache>
            </c:numRef>
          </c:val>
          <c:smooth val="0"/>
          <c:extLst>
            <c:ext xmlns:c16="http://schemas.microsoft.com/office/drawing/2014/chart" uri="{C3380CC4-5D6E-409C-BE32-E72D297353CC}">
              <c16:uniqueId val="{00000000-AACD-7E4B-95E2-BF781861B923}"/>
            </c:ext>
          </c:extLst>
        </c:ser>
        <c:dLbls>
          <c:showLegendKey val="0"/>
          <c:showVal val="0"/>
          <c:showCatName val="0"/>
          <c:showSerName val="0"/>
          <c:showPercent val="0"/>
          <c:showBubbleSize val="0"/>
        </c:dLbls>
        <c:marker val="1"/>
        <c:smooth val="0"/>
        <c:axId val="55609872"/>
        <c:axId val="76515584"/>
      </c:lineChart>
      <c:lineChart>
        <c:grouping val="standard"/>
        <c:varyColors val="0"/>
        <c:ser>
          <c:idx val="1"/>
          <c:order val="1"/>
          <c:tx>
            <c:v>pH</c:v>
          </c:tx>
          <c:spPr>
            <a:ln w="12700" cap="rnd">
              <a:solidFill>
                <a:schemeClr val="tx1"/>
              </a:solidFill>
              <a:prstDash val="sysDash"/>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FosfatoHierro_GIBI029!$T$4:$T$14</c:f>
                <c:numCache>
                  <c:formatCode>General</c:formatCode>
                  <c:ptCount val="11"/>
                  <c:pt idx="0">
                    <c:v>7.2111025509280099E-2</c:v>
                  </c:pt>
                  <c:pt idx="1">
                    <c:v>4.0414518843273822E-2</c:v>
                  </c:pt>
                  <c:pt idx="2">
                    <c:v>2.5166114784235735E-2</c:v>
                  </c:pt>
                  <c:pt idx="3">
                    <c:v>1.0000000000000009E-2</c:v>
                  </c:pt>
                  <c:pt idx="4">
                    <c:v>4.0414518843273711E-2</c:v>
                  </c:pt>
                  <c:pt idx="5">
                    <c:v>5.7735026918963907E-3</c:v>
                  </c:pt>
                  <c:pt idx="6">
                    <c:v>5.7735026918963907E-3</c:v>
                  </c:pt>
                  <c:pt idx="7">
                    <c:v>5.7735026918961348E-3</c:v>
                  </c:pt>
                  <c:pt idx="8">
                    <c:v>1.0000000000000009E-2</c:v>
                  </c:pt>
                  <c:pt idx="9">
                    <c:v>5.7735026918961348E-3</c:v>
                  </c:pt>
                  <c:pt idx="10">
                    <c:v>1.1547005383792526E-2</c:v>
                  </c:pt>
                </c:numCache>
              </c:numRef>
            </c:plus>
            <c:minus>
              <c:numRef>
                <c:f>FosfatoHierro_GIBI029!$T$4:$T$14</c:f>
                <c:numCache>
                  <c:formatCode>General</c:formatCode>
                  <c:ptCount val="11"/>
                  <c:pt idx="0">
                    <c:v>7.2111025509280099E-2</c:v>
                  </c:pt>
                  <c:pt idx="1">
                    <c:v>4.0414518843273822E-2</c:v>
                  </c:pt>
                  <c:pt idx="2">
                    <c:v>2.5166114784235735E-2</c:v>
                  </c:pt>
                  <c:pt idx="3">
                    <c:v>1.0000000000000009E-2</c:v>
                  </c:pt>
                  <c:pt idx="4">
                    <c:v>4.0414518843273711E-2</c:v>
                  </c:pt>
                  <c:pt idx="5">
                    <c:v>5.7735026918963907E-3</c:v>
                  </c:pt>
                  <c:pt idx="6">
                    <c:v>5.7735026918963907E-3</c:v>
                  </c:pt>
                  <c:pt idx="7">
                    <c:v>5.7735026918961348E-3</c:v>
                  </c:pt>
                  <c:pt idx="8">
                    <c:v>1.0000000000000009E-2</c:v>
                  </c:pt>
                  <c:pt idx="9">
                    <c:v>5.7735026918961348E-3</c:v>
                  </c:pt>
                  <c:pt idx="10">
                    <c:v>1.1547005383792526E-2</c:v>
                  </c:pt>
                </c:numCache>
              </c:numRef>
            </c:minus>
            <c:spPr>
              <a:noFill/>
              <a:ln w="9525" cap="flat" cmpd="sng" algn="ctr">
                <a:solidFill>
                  <a:schemeClr val="tx1">
                    <a:lumMod val="65000"/>
                    <a:lumOff val="35000"/>
                  </a:schemeClr>
                </a:solidFill>
                <a:round/>
              </a:ln>
              <a:effectLst/>
            </c:spPr>
          </c:errBars>
          <c:val>
            <c:numRef>
              <c:f>FosfatoHierro_GIBI029!$U$4:$U$14</c:f>
              <c:numCache>
                <c:formatCode>0.00</c:formatCode>
                <c:ptCount val="11"/>
                <c:pt idx="0">
                  <c:v>4.22</c:v>
                </c:pt>
                <c:pt idx="1">
                  <c:v>2.4533333333333336</c:v>
                </c:pt>
                <c:pt idx="2">
                  <c:v>2.4366666666666665</c:v>
                </c:pt>
                <c:pt idx="3">
                  <c:v>2.3499999999999996</c:v>
                </c:pt>
                <c:pt idx="4">
                  <c:v>2.3733333333333331</c:v>
                </c:pt>
                <c:pt idx="5">
                  <c:v>2.3433333333333333</c:v>
                </c:pt>
                <c:pt idx="6">
                  <c:v>2.3433333333333333</c:v>
                </c:pt>
                <c:pt idx="7">
                  <c:v>2.3533333333333335</c:v>
                </c:pt>
                <c:pt idx="8">
                  <c:v>2.3499999999999996</c:v>
                </c:pt>
                <c:pt idx="9">
                  <c:v>2.3533333333333335</c:v>
                </c:pt>
                <c:pt idx="10">
                  <c:v>2.3666666666666667</c:v>
                </c:pt>
              </c:numCache>
            </c:numRef>
          </c:val>
          <c:smooth val="0"/>
          <c:extLst>
            <c:ext xmlns:c16="http://schemas.microsoft.com/office/drawing/2014/chart" uri="{C3380CC4-5D6E-409C-BE32-E72D297353CC}">
              <c16:uniqueId val="{00000001-AACD-7E4B-95E2-BF781861B923}"/>
            </c:ext>
          </c:extLst>
        </c:ser>
        <c:dLbls>
          <c:showLegendKey val="0"/>
          <c:showVal val="0"/>
          <c:showCatName val="0"/>
          <c:showSerName val="0"/>
          <c:showPercent val="0"/>
          <c:showBubbleSize val="0"/>
        </c:dLbls>
        <c:marker val="1"/>
        <c:smooth val="0"/>
        <c:axId val="56141632"/>
        <c:axId val="56765456"/>
      </c:lineChart>
      <c:catAx>
        <c:axId val="55609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76515584"/>
        <c:crosses val="autoZero"/>
        <c:auto val="1"/>
        <c:lblAlgn val="ctr"/>
        <c:lblOffset val="100"/>
        <c:noMultiLvlLbl val="0"/>
      </c:catAx>
      <c:valAx>
        <c:axId val="76515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5609872"/>
        <c:crosses val="autoZero"/>
        <c:crossBetween val="between"/>
      </c:valAx>
      <c:valAx>
        <c:axId val="567654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6141632"/>
        <c:crosses val="max"/>
        <c:crossBetween val="between"/>
      </c:valAx>
      <c:catAx>
        <c:axId val="56141632"/>
        <c:scaling>
          <c:orientation val="minMax"/>
        </c:scaling>
        <c:delete val="1"/>
        <c:axPos val="b"/>
        <c:majorTickMark val="out"/>
        <c:minorTickMark val="none"/>
        <c:tickLblPos val="nextTo"/>
        <c:crossAx val="56765456"/>
        <c:crosses val="autoZero"/>
        <c:auto val="1"/>
        <c:lblAlgn val="ctr"/>
        <c:lblOffset val="100"/>
        <c:noMultiLvlLbl val="0"/>
      </c:cat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mg/l</c:v>
          </c:tx>
          <c:spPr>
            <a:ln w="12700" cap="rnd">
              <a:solidFill>
                <a:schemeClr val="tx1"/>
              </a:solidFill>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FosfatoHierro_ATCC49037!$O$5:$O$15</c:f>
                <c:numCache>
                  <c:formatCode>General</c:formatCode>
                  <c:ptCount val="11"/>
                  <c:pt idx="0">
                    <c:v>0</c:v>
                  </c:pt>
                  <c:pt idx="1">
                    <c:v>0.13333333333333355</c:v>
                  </c:pt>
                  <c:pt idx="2">
                    <c:v>6.6666666666666707E-2</c:v>
                  </c:pt>
                  <c:pt idx="3">
                    <c:v>0.133333333333333</c:v>
                  </c:pt>
                  <c:pt idx="4">
                    <c:v>0</c:v>
                  </c:pt>
                  <c:pt idx="5">
                    <c:v>6.6666666666666569E-2</c:v>
                  </c:pt>
                  <c:pt idx="6">
                    <c:v>0.39999999999999858</c:v>
                  </c:pt>
                  <c:pt idx="7">
                    <c:v>0.19999999999999929</c:v>
                  </c:pt>
                  <c:pt idx="8">
                    <c:v>6.666666666666643E-2</c:v>
                  </c:pt>
                  <c:pt idx="9">
                    <c:v>2.7840817357094814</c:v>
                  </c:pt>
                  <c:pt idx="10">
                    <c:v>0.46666666666666767</c:v>
                  </c:pt>
                </c:numCache>
              </c:numRef>
            </c:plus>
            <c:minus>
              <c:numRef>
                <c:f>FosfatoHierro_ATCC49037!$O$5:$O$15</c:f>
                <c:numCache>
                  <c:formatCode>General</c:formatCode>
                  <c:ptCount val="11"/>
                  <c:pt idx="0">
                    <c:v>0</c:v>
                  </c:pt>
                  <c:pt idx="1">
                    <c:v>0.13333333333333355</c:v>
                  </c:pt>
                  <c:pt idx="2">
                    <c:v>6.6666666666666707E-2</c:v>
                  </c:pt>
                  <c:pt idx="3">
                    <c:v>0.133333333333333</c:v>
                  </c:pt>
                  <c:pt idx="4">
                    <c:v>0</c:v>
                  </c:pt>
                  <c:pt idx="5">
                    <c:v>6.6666666666666569E-2</c:v>
                  </c:pt>
                  <c:pt idx="6">
                    <c:v>0.39999999999999858</c:v>
                  </c:pt>
                  <c:pt idx="7">
                    <c:v>0.19999999999999929</c:v>
                  </c:pt>
                  <c:pt idx="8">
                    <c:v>6.666666666666643E-2</c:v>
                  </c:pt>
                  <c:pt idx="9">
                    <c:v>2.7840817357094814</c:v>
                  </c:pt>
                  <c:pt idx="10">
                    <c:v>0.46666666666666767</c:v>
                  </c:pt>
                </c:numCache>
              </c:numRef>
            </c:minus>
            <c:spPr>
              <a:noFill/>
              <a:ln w="9525" cap="flat" cmpd="sng" algn="ctr">
                <a:solidFill>
                  <a:schemeClr val="tx1">
                    <a:lumMod val="65000"/>
                    <a:lumOff val="35000"/>
                  </a:schemeClr>
                </a:solidFill>
                <a:round/>
              </a:ln>
              <a:effectLst/>
            </c:spPr>
          </c:errBars>
          <c:cat>
            <c:numRef>
              <c:f>FosfatoHierro_ATCC49037!$K$5:$K$15</c:f>
              <c:numCache>
                <c:formatCode>General</c:formatCode>
                <c:ptCount val="11"/>
                <c:pt idx="0">
                  <c:v>0</c:v>
                </c:pt>
                <c:pt idx="1">
                  <c:v>24</c:v>
                </c:pt>
                <c:pt idx="2">
                  <c:v>48</c:v>
                </c:pt>
                <c:pt idx="3">
                  <c:v>72</c:v>
                </c:pt>
                <c:pt idx="4">
                  <c:v>96</c:v>
                </c:pt>
                <c:pt idx="5">
                  <c:v>120</c:v>
                </c:pt>
                <c:pt idx="6">
                  <c:v>144</c:v>
                </c:pt>
                <c:pt idx="7">
                  <c:v>168</c:v>
                </c:pt>
                <c:pt idx="8">
                  <c:v>192</c:v>
                </c:pt>
                <c:pt idx="9">
                  <c:v>216</c:v>
                </c:pt>
                <c:pt idx="10">
                  <c:v>240</c:v>
                </c:pt>
              </c:numCache>
            </c:numRef>
          </c:cat>
          <c:val>
            <c:numRef>
              <c:f>FosfatoHierro_ATCC49037!$P$5:$P$15</c:f>
              <c:numCache>
                <c:formatCode>0.000</c:formatCode>
                <c:ptCount val="11"/>
                <c:pt idx="0">
                  <c:v>0</c:v>
                </c:pt>
                <c:pt idx="1">
                  <c:v>0.43999999999999967</c:v>
                </c:pt>
                <c:pt idx="2">
                  <c:v>0.90666666666666673</c:v>
                </c:pt>
                <c:pt idx="3">
                  <c:v>0.17333333333333303</c:v>
                </c:pt>
                <c:pt idx="4">
                  <c:v>4.0000000000000223E-2</c:v>
                </c:pt>
                <c:pt idx="5">
                  <c:v>0.23999999999999952</c:v>
                </c:pt>
                <c:pt idx="6">
                  <c:v>50.573333333333323</c:v>
                </c:pt>
                <c:pt idx="7">
                  <c:v>17.706666666666667</c:v>
                </c:pt>
                <c:pt idx="8">
                  <c:v>17.706666666666667</c:v>
                </c:pt>
                <c:pt idx="9">
                  <c:v>23.506666666666664</c:v>
                </c:pt>
                <c:pt idx="10">
                  <c:v>14.240000000000002</c:v>
                </c:pt>
              </c:numCache>
            </c:numRef>
          </c:val>
          <c:smooth val="0"/>
          <c:extLst>
            <c:ext xmlns:c16="http://schemas.microsoft.com/office/drawing/2014/chart" uri="{C3380CC4-5D6E-409C-BE32-E72D297353CC}">
              <c16:uniqueId val="{00000000-6836-DE4C-8D00-46F229028BDA}"/>
            </c:ext>
          </c:extLst>
        </c:ser>
        <c:dLbls>
          <c:showLegendKey val="0"/>
          <c:showVal val="0"/>
          <c:showCatName val="0"/>
          <c:showSerName val="0"/>
          <c:showPercent val="0"/>
          <c:showBubbleSize val="0"/>
        </c:dLbls>
        <c:marker val="1"/>
        <c:smooth val="0"/>
        <c:axId val="55609872"/>
        <c:axId val="76515584"/>
      </c:lineChart>
      <c:lineChart>
        <c:grouping val="standard"/>
        <c:varyColors val="0"/>
        <c:ser>
          <c:idx val="1"/>
          <c:order val="1"/>
          <c:tx>
            <c:v>pH</c:v>
          </c:tx>
          <c:spPr>
            <a:ln w="12700" cap="rnd">
              <a:solidFill>
                <a:schemeClr val="tx1"/>
              </a:solidFill>
              <a:prstDash val="sysDash"/>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FosfatoHierro_ATCC49037!$T$5:$T$15</c:f>
                <c:numCache>
                  <c:formatCode>General</c:formatCode>
                  <c:ptCount val="11"/>
                  <c:pt idx="0">
                    <c:v>0.1096965511460289</c:v>
                  </c:pt>
                  <c:pt idx="1">
                    <c:v>5.7735026918963907E-3</c:v>
                  </c:pt>
                  <c:pt idx="2">
                    <c:v>1.5275252316519383E-2</c:v>
                  </c:pt>
                  <c:pt idx="3">
                    <c:v>2.0816659994661382E-2</c:v>
                  </c:pt>
                  <c:pt idx="4">
                    <c:v>4.0414518843273857E-2</c:v>
                  </c:pt>
                  <c:pt idx="5">
                    <c:v>0.10503967504392485</c:v>
                  </c:pt>
                  <c:pt idx="6">
                    <c:v>7.5498344352707442E-2</c:v>
                  </c:pt>
                  <c:pt idx="7">
                    <c:v>1.7320508075688915E-2</c:v>
                  </c:pt>
                  <c:pt idx="8">
                    <c:v>1.5275252316519579E-2</c:v>
                  </c:pt>
                  <c:pt idx="9">
                    <c:v>1.5275252316519385E-2</c:v>
                  </c:pt>
                  <c:pt idx="10">
                    <c:v>1.0000000000000009E-2</c:v>
                  </c:pt>
                </c:numCache>
              </c:numRef>
            </c:plus>
            <c:minus>
              <c:numRef>
                <c:f>FosfatoHierro_ATCC49037!$T$5:$T$15</c:f>
                <c:numCache>
                  <c:formatCode>General</c:formatCode>
                  <c:ptCount val="11"/>
                  <c:pt idx="0">
                    <c:v>0.1096965511460289</c:v>
                  </c:pt>
                  <c:pt idx="1">
                    <c:v>5.7735026918963907E-3</c:v>
                  </c:pt>
                  <c:pt idx="2">
                    <c:v>1.5275252316519383E-2</c:v>
                  </c:pt>
                  <c:pt idx="3">
                    <c:v>2.0816659994661382E-2</c:v>
                  </c:pt>
                  <c:pt idx="4">
                    <c:v>4.0414518843273857E-2</c:v>
                  </c:pt>
                  <c:pt idx="5">
                    <c:v>0.10503967504392485</c:v>
                  </c:pt>
                  <c:pt idx="6">
                    <c:v>7.5498344352707442E-2</c:v>
                  </c:pt>
                  <c:pt idx="7">
                    <c:v>1.7320508075688915E-2</c:v>
                  </c:pt>
                  <c:pt idx="8">
                    <c:v>1.5275252316519579E-2</c:v>
                  </c:pt>
                  <c:pt idx="9">
                    <c:v>1.5275252316519385E-2</c:v>
                  </c:pt>
                  <c:pt idx="10">
                    <c:v>1.0000000000000009E-2</c:v>
                  </c:pt>
                </c:numCache>
              </c:numRef>
            </c:minus>
            <c:spPr>
              <a:noFill/>
              <a:ln w="9525" cap="flat" cmpd="sng" algn="ctr">
                <a:solidFill>
                  <a:schemeClr val="tx1">
                    <a:lumMod val="65000"/>
                    <a:lumOff val="35000"/>
                  </a:schemeClr>
                </a:solidFill>
                <a:round/>
              </a:ln>
              <a:effectLst/>
            </c:spPr>
          </c:errBars>
          <c:val>
            <c:numRef>
              <c:f>FosfatoHierro_ATCC49037!$U$5:$U$15</c:f>
              <c:numCache>
                <c:formatCode>0.00</c:formatCode>
                <c:ptCount val="11"/>
                <c:pt idx="0">
                  <c:v>4.7966666666666669</c:v>
                </c:pt>
                <c:pt idx="1">
                  <c:v>3.2633333333333332</c:v>
                </c:pt>
                <c:pt idx="2">
                  <c:v>3.2166666666666668</c:v>
                </c:pt>
                <c:pt idx="3">
                  <c:v>3.1933333333333334</c:v>
                </c:pt>
                <c:pt idx="4">
                  <c:v>3.0966666666666671</c:v>
                </c:pt>
                <c:pt idx="5">
                  <c:v>2.8066666666666671</c:v>
                </c:pt>
                <c:pt idx="6">
                  <c:v>2.4800000000000004</c:v>
                </c:pt>
                <c:pt idx="7">
                  <c:v>2.42</c:v>
                </c:pt>
                <c:pt idx="8">
                  <c:v>2.3966666666666665</c:v>
                </c:pt>
                <c:pt idx="9">
                  <c:v>2.3866666666666667</c:v>
                </c:pt>
                <c:pt idx="10">
                  <c:v>2.3800000000000003</c:v>
                </c:pt>
              </c:numCache>
            </c:numRef>
          </c:val>
          <c:smooth val="0"/>
          <c:extLst>
            <c:ext xmlns:c16="http://schemas.microsoft.com/office/drawing/2014/chart" uri="{C3380CC4-5D6E-409C-BE32-E72D297353CC}">
              <c16:uniqueId val="{00000001-6836-DE4C-8D00-46F229028BDA}"/>
            </c:ext>
          </c:extLst>
        </c:ser>
        <c:dLbls>
          <c:showLegendKey val="0"/>
          <c:showVal val="0"/>
          <c:showCatName val="0"/>
          <c:showSerName val="0"/>
          <c:showPercent val="0"/>
          <c:showBubbleSize val="0"/>
        </c:dLbls>
        <c:marker val="1"/>
        <c:smooth val="0"/>
        <c:axId val="56141632"/>
        <c:axId val="56765456"/>
      </c:lineChart>
      <c:catAx>
        <c:axId val="55609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76515584"/>
        <c:crosses val="autoZero"/>
        <c:auto val="1"/>
        <c:lblAlgn val="ctr"/>
        <c:lblOffset val="100"/>
        <c:noMultiLvlLbl val="0"/>
      </c:catAx>
      <c:valAx>
        <c:axId val="76515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5609872"/>
        <c:crosses val="autoZero"/>
        <c:crossBetween val="between"/>
      </c:valAx>
      <c:valAx>
        <c:axId val="567654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_tradnl"/>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6141632"/>
        <c:crosses val="max"/>
        <c:crossBetween val="between"/>
      </c:valAx>
      <c:catAx>
        <c:axId val="56141632"/>
        <c:scaling>
          <c:orientation val="minMax"/>
        </c:scaling>
        <c:delete val="1"/>
        <c:axPos val="b"/>
        <c:majorTickMark val="out"/>
        <c:minorTickMark val="none"/>
        <c:tickLblPos val="nextTo"/>
        <c:crossAx val="56765456"/>
        <c:crosses val="autoZero"/>
        <c:auto val="1"/>
        <c:lblAlgn val="ctr"/>
        <c:lblOffset val="100"/>
        <c:noMultiLvlLbl val="0"/>
      </c:cat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WvAwcXagR1ZuIL0H44kv5dOaH9g==">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</go:docsCustomData>
</go:gDocsCustomXmlDataStorage>
</file>

<file path=customXml/itemProps1.xml><?xml version="1.0" encoding="utf-8"?>
<ds:datastoreItem xmlns:ds="http://schemas.openxmlformats.org/officeDocument/2006/customXml" ds:itemID="{531CEC9C-1252-4D1E-B000-9B14BF180D9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16</Pages>
  <Words>6754</Words>
  <Characters>37151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Ortiz Gomez</dc:creator>
  <cp:lastModifiedBy>Anónimo</cp:lastModifiedBy>
  <cp:revision>383</cp:revision>
  <dcterms:created xsi:type="dcterms:W3CDTF">2021-08-01T22:43:00Z</dcterms:created>
  <dcterms:modified xsi:type="dcterms:W3CDTF">2021-08-05T00:21:00Z</dcterms:modified>
</cp:coreProperties>
</file>